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E8B85">
      <w:pPr>
        <w:jc w:val="center"/>
      </w:pPr>
    </w:p>
    <w:p w14:paraId="5C0722FF">
      <w:pPr>
        <w:jc w:val="center"/>
      </w:pPr>
    </w:p>
    <w:p w14:paraId="1649A3FB">
      <w:pPr>
        <w:jc w:val="center"/>
      </w:pPr>
    </w:p>
    <w:p w14:paraId="704855F7">
      <w:pPr>
        <w:jc w:val="center"/>
      </w:pPr>
    </w:p>
    <w:p w14:paraId="1314D7BA">
      <w:pPr>
        <w:jc w:val="center"/>
      </w:pPr>
    </w:p>
    <w:p w14:paraId="222CF948">
      <w:pPr>
        <w:jc w:val="center"/>
      </w:pPr>
    </w:p>
    <w:p w14:paraId="656BD4D9">
      <w:pPr>
        <w:keepNext w:val="0"/>
        <w:keepLines w:val="0"/>
        <w:pageBreakBefore w:val="0"/>
        <w:widowControl w:val="0"/>
        <w:kinsoku/>
        <w:wordWrap/>
        <w:overflowPunct/>
        <w:topLinePunct w:val="0"/>
        <w:autoSpaceDE/>
        <w:autoSpaceDN/>
        <w:bidi w:val="0"/>
        <w:adjustRightInd/>
        <w:snapToGrid/>
        <w:ind w:firstLine="0"/>
        <w:jc w:val="center"/>
        <w:textAlignment w:val="auto"/>
        <w:rPr>
          <w:rFonts w:ascii="黑体" w:hAnsi="黑体" w:eastAsia="黑体" w:cs="黑体"/>
          <w:bCs/>
          <w:spacing w:val="20"/>
          <w:sz w:val="60"/>
          <w:szCs w:val="60"/>
        </w:rPr>
      </w:pPr>
      <w:r>
        <w:rPr>
          <w:rFonts w:hint="eastAsia" w:ascii="黑体" w:hAnsi="黑体" w:eastAsia="黑体" w:cs="黑体"/>
          <w:bCs/>
          <w:spacing w:val="20"/>
          <w:sz w:val="60"/>
          <w:szCs w:val="60"/>
        </w:rPr>
        <w:t>文水县辐射事故应急预案</w:t>
      </w:r>
    </w:p>
    <w:p w14:paraId="02257992">
      <w:pPr>
        <w:keepNext w:val="0"/>
        <w:keepLines w:val="0"/>
        <w:pageBreakBefore w:val="0"/>
        <w:widowControl w:val="0"/>
        <w:kinsoku/>
        <w:wordWrap/>
        <w:overflowPunct/>
        <w:topLinePunct w:val="0"/>
        <w:autoSpaceDE/>
        <w:autoSpaceDN/>
        <w:bidi w:val="0"/>
        <w:adjustRightInd/>
        <w:snapToGrid/>
        <w:ind w:firstLine="0"/>
        <w:textAlignment w:val="auto"/>
      </w:pPr>
    </w:p>
    <w:p w14:paraId="1FED794D">
      <w:pPr>
        <w:keepNext w:val="0"/>
        <w:keepLines w:val="0"/>
        <w:pageBreakBefore w:val="0"/>
        <w:widowControl w:val="0"/>
        <w:kinsoku/>
        <w:wordWrap/>
        <w:overflowPunct/>
        <w:topLinePunct w:val="0"/>
        <w:autoSpaceDE/>
        <w:autoSpaceDN/>
        <w:bidi w:val="0"/>
        <w:adjustRightInd/>
        <w:snapToGrid/>
        <w:ind w:firstLine="0"/>
        <w:textAlignment w:val="auto"/>
      </w:pPr>
    </w:p>
    <w:p w14:paraId="700C4E08">
      <w:pPr>
        <w:keepNext w:val="0"/>
        <w:keepLines w:val="0"/>
        <w:pageBreakBefore w:val="0"/>
        <w:widowControl w:val="0"/>
        <w:kinsoku/>
        <w:wordWrap/>
        <w:overflowPunct/>
        <w:topLinePunct w:val="0"/>
        <w:autoSpaceDE/>
        <w:autoSpaceDN/>
        <w:bidi w:val="0"/>
        <w:adjustRightInd/>
        <w:snapToGrid/>
        <w:ind w:firstLine="0"/>
        <w:textAlignment w:val="auto"/>
      </w:pPr>
    </w:p>
    <w:p w14:paraId="59248A19">
      <w:pPr>
        <w:keepNext w:val="0"/>
        <w:keepLines w:val="0"/>
        <w:pageBreakBefore w:val="0"/>
        <w:widowControl w:val="0"/>
        <w:kinsoku/>
        <w:wordWrap/>
        <w:overflowPunct/>
        <w:topLinePunct w:val="0"/>
        <w:autoSpaceDE/>
        <w:autoSpaceDN/>
        <w:bidi w:val="0"/>
        <w:adjustRightInd/>
        <w:snapToGrid/>
        <w:ind w:firstLine="0"/>
        <w:textAlignment w:val="auto"/>
      </w:pPr>
    </w:p>
    <w:p w14:paraId="65CFAC84">
      <w:pPr>
        <w:keepNext w:val="0"/>
        <w:keepLines w:val="0"/>
        <w:pageBreakBefore w:val="0"/>
        <w:widowControl w:val="0"/>
        <w:kinsoku/>
        <w:wordWrap/>
        <w:overflowPunct/>
        <w:topLinePunct w:val="0"/>
        <w:autoSpaceDE/>
        <w:autoSpaceDN/>
        <w:bidi w:val="0"/>
        <w:adjustRightInd/>
        <w:snapToGrid/>
        <w:ind w:firstLine="0"/>
        <w:textAlignment w:val="auto"/>
      </w:pPr>
    </w:p>
    <w:p w14:paraId="2A4EC720">
      <w:pPr>
        <w:keepNext w:val="0"/>
        <w:keepLines w:val="0"/>
        <w:pageBreakBefore w:val="0"/>
        <w:widowControl w:val="0"/>
        <w:kinsoku/>
        <w:wordWrap/>
        <w:overflowPunct/>
        <w:topLinePunct w:val="0"/>
        <w:autoSpaceDE/>
        <w:autoSpaceDN/>
        <w:bidi w:val="0"/>
        <w:adjustRightInd/>
        <w:snapToGrid/>
        <w:ind w:firstLine="0"/>
        <w:textAlignment w:val="auto"/>
      </w:pPr>
    </w:p>
    <w:p w14:paraId="63160753">
      <w:pPr>
        <w:keepNext w:val="0"/>
        <w:keepLines w:val="0"/>
        <w:pageBreakBefore w:val="0"/>
        <w:widowControl w:val="0"/>
        <w:kinsoku/>
        <w:wordWrap/>
        <w:overflowPunct/>
        <w:topLinePunct w:val="0"/>
        <w:autoSpaceDE/>
        <w:autoSpaceDN/>
        <w:bidi w:val="0"/>
        <w:adjustRightInd/>
        <w:snapToGrid/>
        <w:ind w:firstLine="0"/>
        <w:textAlignment w:val="auto"/>
      </w:pPr>
    </w:p>
    <w:p w14:paraId="3E355FE1">
      <w:pPr>
        <w:keepNext w:val="0"/>
        <w:keepLines w:val="0"/>
        <w:pageBreakBefore w:val="0"/>
        <w:widowControl w:val="0"/>
        <w:kinsoku/>
        <w:wordWrap/>
        <w:overflowPunct/>
        <w:topLinePunct w:val="0"/>
        <w:autoSpaceDE/>
        <w:autoSpaceDN/>
        <w:bidi w:val="0"/>
        <w:adjustRightInd/>
        <w:snapToGrid/>
        <w:ind w:firstLine="0"/>
        <w:textAlignment w:val="auto"/>
      </w:pPr>
    </w:p>
    <w:p w14:paraId="7E397179">
      <w:pPr>
        <w:keepNext w:val="0"/>
        <w:keepLines w:val="0"/>
        <w:pageBreakBefore w:val="0"/>
        <w:widowControl w:val="0"/>
        <w:kinsoku/>
        <w:wordWrap/>
        <w:overflowPunct/>
        <w:topLinePunct w:val="0"/>
        <w:autoSpaceDE/>
        <w:autoSpaceDN/>
        <w:bidi w:val="0"/>
        <w:adjustRightInd/>
        <w:snapToGrid/>
        <w:ind w:firstLine="0"/>
        <w:textAlignment w:val="auto"/>
      </w:pPr>
    </w:p>
    <w:p w14:paraId="3C595E2E">
      <w:pPr>
        <w:keepNext w:val="0"/>
        <w:keepLines w:val="0"/>
        <w:pageBreakBefore w:val="0"/>
        <w:widowControl w:val="0"/>
        <w:kinsoku/>
        <w:wordWrap/>
        <w:overflowPunct/>
        <w:topLinePunct w:val="0"/>
        <w:autoSpaceDE/>
        <w:autoSpaceDN/>
        <w:bidi w:val="0"/>
        <w:adjustRightInd/>
        <w:snapToGrid/>
        <w:ind w:firstLine="0"/>
        <w:textAlignment w:val="auto"/>
      </w:pPr>
    </w:p>
    <w:p w14:paraId="62C22675">
      <w:pPr>
        <w:keepNext w:val="0"/>
        <w:keepLines w:val="0"/>
        <w:pageBreakBefore w:val="0"/>
        <w:widowControl w:val="0"/>
        <w:kinsoku/>
        <w:wordWrap/>
        <w:overflowPunct/>
        <w:topLinePunct w:val="0"/>
        <w:autoSpaceDE/>
        <w:autoSpaceDN/>
        <w:bidi w:val="0"/>
        <w:adjustRightInd/>
        <w:snapToGrid/>
        <w:ind w:firstLine="0"/>
        <w:textAlignment w:val="auto"/>
      </w:pPr>
    </w:p>
    <w:p w14:paraId="3B4CC7C1">
      <w:pPr>
        <w:keepNext w:val="0"/>
        <w:keepLines w:val="0"/>
        <w:pageBreakBefore w:val="0"/>
        <w:widowControl w:val="0"/>
        <w:kinsoku/>
        <w:wordWrap/>
        <w:overflowPunct/>
        <w:topLinePunct w:val="0"/>
        <w:autoSpaceDE/>
        <w:autoSpaceDN/>
        <w:bidi w:val="0"/>
        <w:adjustRightInd/>
        <w:snapToGrid/>
        <w:ind w:firstLine="0"/>
        <w:textAlignment w:val="auto"/>
      </w:pPr>
    </w:p>
    <w:p w14:paraId="78402EEC">
      <w:pPr>
        <w:keepNext w:val="0"/>
        <w:keepLines w:val="0"/>
        <w:pageBreakBefore w:val="0"/>
        <w:widowControl w:val="0"/>
        <w:kinsoku/>
        <w:wordWrap/>
        <w:overflowPunct/>
        <w:topLinePunct w:val="0"/>
        <w:autoSpaceDE/>
        <w:autoSpaceDN/>
        <w:bidi w:val="0"/>
        <w:adjustRightInd/>
        <w:snapToGrid/>
        <w:ind w:firstLine="0"/>
        <w:textAlignment w:val="auto"/>
      </w:pPr>
    </w:p>
    <w:p w14:paraId="3989908C">
      <w:pPr>
        <w:keepNext w:val="0"/>
        <w:keepLines w:val="0"/>
        <w:pageBreakBefore w:val="0"/>
        <w:widowControl w:val="0"/>
        <w:kinsoku/>
        <w:wordWrap/>
        <w:overflowPunct/>
        <w:topLinePunct w:val="0"/>
        <w:autoSpaceDE/>
        <w:autoSpaceDN/>
        <w:bidi w:val="0"/>
        <w:adjustRightInd/>
        <w:snapToGrid/>
        <w:ind w:firstLine="0"/>
        <w:textAlignment w:val="auto"/>
      </w:pPr>
    </w:p>
    <w:p w14:paraId="7D3E9A3B">
      <w:pPr>
        <w:keepNext w:val="0"/>
        <w:keepLines w:val="0"/>
        <w:pageBreakBefore w:val="0"/>
        <w:widowControl w:val="0"/>
        <w:kinsoku/>
        <w:wordWrap/>
        <w:overflowPunct/>
        <w:topLinePunct w:val="0"/>
        <w:autoSpaceDE/>
        <w:autoSpaceDN/>
        <w:bidi w:val="0"/>
        <w:adjustRightInd/>
        <w:snapToGrid/>
        <w:ind w:firstLine="0"/>
        <w:textAlignment w:val="auto"/>
      </w:pPr>
    </w:p>
    <w:p w14:paraId="6F6B0A43">
      <w:pPr>
        <w:keepNext w:val="0"/>
        <w:keepLines w:val="0"/>
        <w:pageBreakBefore w:val="0"/>
        <w:widowControl w:val="0"/>
        <w:kinsoku/>
        <w:wordWrap/>
        <w:overflowPunct/>
        <w:topLinePunct w:val="0"/>
        <w:autoSpaceDE/>
        <w:autoSpaceDN/>
        <w:bidi w:val="0"/>
        <w:adjustRightInd/>
        <w:snapToGrid/>
        <w:ind w:firstLine="0"/>
        <w:textAlignment w:val="auto"/>
      </w:pPr>
    </w:p>
    <w:p w14:paraId="4A4F106A">
      <w:pPr>
        <w:keepNext w:val="0"/>
        <w:keepLines w:val="0"/>
        <w:pageBreakBefore w:val="0"/>
        <w:widowControl w:val="0"/>
        <w:kinsoku/>
        <w:wordWrap/>
        <w:overflowPunct/>
        <w:topLinePunct w:val="0"/>
        <w:autoSpaceDE/>
        <w:autoSpaceDN/>
        <w:bidi w:val="0"/>
        <w:adjustRightInd/>
        <w:snapToGrid/>
        <w:ind w:firstLine="0"/>
        <w:textAlignment w:val="auto"/>
      </w:pPr>
    </w:p>
    <w:p w14:paraId="70E47B7E">
      <w:pPr>
        <w:keepNext w:val="0"/>
        <w:keepLines w:val="0"/>
        <w:pageBreakBefore w:val="0"/>
        <w:widowControl w:val="0"/>
        <w:kinsoku/>
        <w:wordWrap/>
        <w:overflowPunct/>
        <w:topLinePunct w:val="0"/>
        <w:autoSpaceDE/>
        <w:autoSpaceDN/>
        <w:bidi w:val="0"/>
        <w:adjustRightInd/>
        <w:snapToGrid/>
        <w:ind w:firstLine="0"/>
        <w:textAlignment w:val="auto"/>
      </w:pPr>
    </w:p>
    <w:p w14:paraId="098F1FE4">
      <w:pPr>
        <w:keepNext w:val="0"/>
        <w:keepLines w:val="0"/>
        <w:pageBreakBefore w:val="0"/>
        <w:widowControl w:val="0"/>
        <w:kinsoku/>
        <w:wordWrap/>
        <w:overflowPunct/>
        <w:topLinePunct w:val="0"/>
        <w:autoSpaceDE/>
        <w:autoSpaceDN/>
        <w:bidi w:val="0"/>
        <w:adjustRightInd/>
        <w:snapToGrid/>
        <w:ind w:firstLine="0"/>
        <w:textAlignment w:val="auto"/>
      </w:pPr>
    </w:p>
    <w:p w14:paraId="12C8F4E6">
      <w:pPr>
        <w:keepNext w:val="0"/>
        <w:keepLines w:val="0"/>
        <w:pageBreakBefore w:val="0"/>
        <w:widowControl w:val="0"/>
        <w:kinsoku/>
        <w:wordWrap/>
        <w:overflowPunct/>
        <w:topLinePunct w:val="0"/>
        <w:autoSpaceDE/>
        <w:autoSpaceDN/>
        <w:bidi w:val="0"/>
        <w:adjustRightInd/>
        <w:snapToGrid/>
        <w:ind w:firstLine="0"/>
        <w:textAlignment w:val="auto"/>
      </w:pPr>
    </w:p>
    <w:p w14:paraId="5175172D">
      <w:pPr>
        <w:keepNext w:val="0"/>
        <w:keepLines w:val="0"/>
        <w:pageBreakBefore w:val="0"/>
        <w:widowControl w:val="0"/>
        <w:kinsoku/>
        <w:wordWrap/>
        <w:overflowPunct/>
        <w:topLinePunct w:val="0"/>
        <w:autoSpaceDE/>
        <w:autoSpaceDN/>
        <w:bidi w:val="0"/>
        <w:adjustRightInd/>
        <w:snapToGrid/>
        <w:ind w:firstLine="0"/>
        <w:textAlignment w:val="auto"/>
      </w:pPr>
    </w:p>
    <w:p w14:paraId="3A48E69B">
      <w:pPr>
        <w:keepNext w:val="0"/>
        <w:keepLines w:val="0"/>
        <w:pageBreakBefore w:val="0"/>
        <w:widowControl w:val="0"/>
        <w:kinsoku/>
        <w:wordWrap/>
        <w:overflowPunct/>
        <w:topLinePunct w:val="0"/>
        <w:autoSpaceDE/>
        <w:autoSpaceDN/>
        <w:bidi w:val="0"/>
        <w:adjustRightInd/>
        <w:snapToGrid/>
        <w:ind w:firstLine="0"/>
        <w:textAlignment w:val="auto"/>
      </w:pPr>
    </w:p>
    <w:p w14:paraId="6B4F7C42">
      <w:pPr>
        <w:keepNext w:val="0"/>
        <w:keepLines w:val="0"/>
        <w:pageBreakBefore w:val="0"/>
        <w:widowControl w:val="0"/>
        <w:kinsoku/>
        <w:wordWrap/>
        <w:overflowPunct/>
        <w:topLinePunct w:val="0"/>
        <w:autoSpaceDE/>
        <w:autoSpaceDN/>
        <w:bidi w:val="0"/>
        <w:adjustRightInd/>
        <w:snapToGrid/>
        <w:ind w:firstLine="0"/>
        <w:textAlignment w:val="auto"/>
      </w:pPr>
    </w:p>
    <w:p w14:paraId="4710EDC4">
      <w:pPr>
        <w:keepNext w:val="0"/>
        <w:keepLines w:val="0"/>
        <w:pageBreakBefore w:val="0"/>
        <w:widowControl w:val="0"/>
        <w:kinsoku/>
        <w:wordWrap/>
        <w:overflowPunct/>
        <w:topLinePunct w:val="0"/>
        <w:autoSpaceDE/>
        <w:autoSpaceDN/>
        <w:bidi w:val="0"/>
        <w:adjustRightInd/>
        <w:snapToGrid/>
        <w:ind w:firstLine="0"/>
        <w:textAlignment w:val="auto"/>
      </w:pPr>
    </w:p>
    <w:p w14:paraId="085824F6">
      <w:pPr>
        <w:keepNext w:val="0"/>
        <w:keepLines w:val="0"/>
        <w:pageBreakBefore w:val="0"/>
        <w:widowControl w:val="0"/>
        <w:kinsoku/>
        <w:wordWrap/>
        <w:overflowPunct/>
        <w:topLinePunct w:val="0"/>
        <w:autoSpaceDE/>
        <w:autoSpaceDN/>
        <w:bidi w:val="0"/>
        <w:adjustRightInd/>
        <w:snapToGrid/>
        <w:spacing w:before="156" w:beforeLines="50"/>
        <w:ind w:firstLine="0"/>
        <w:jc w:val="center"/>
        <w:textAlignment w:val="auto"/>
        <w:rPr>
          <w:rFonts w:eastAsia="黑体"/>
          <w:b/>
          <w:sz w:val="36"/>
          <w:szCs w:val="36"/>
        </w:rPr>
      </w:pPr>
      <w:r>
        <w:rPr>
          <w:rFonts w:hint="eastAsia" w:eastAsia="黑体"/>
          <w:b/>
          <w:sz w:val="36"/>
          <w:szCs w:val="36"/>
        </w:rPr>
        <w:t>文水县</w:t>
      </w:r>
      <w:r>
        <w:rPr>
          <w:rFonts w:eastAsia="黑体"/>
          <w:b/>
          <w:sz w:val="36"/>
          <w:szCs w:val="36"/>
        </w:rPr>
        <w:t>人民政府</w:t>
      </w:r>
    </w:p>
    <w:p w14:paraId="4D04D416">
      <w:pPr>
        <w:keepNext w:val="0"/>
        <w:keepLines w:val="0"/>
        <w:pageBreakBefore w:val="0"/>
        <w:widowControl w:val="0"/>
        <w:kinsoku/>
        <w:wordWrap/>
        <w:overflowPunct/>
        <w:topLinePunct w:val="0"/>
        <w:autoSpaceDE/>
        <w:autoSpaceDN/>
        <w:bidi w:val="0"/>
        <w:adjustRightInd/>
        <w:snapToGrid/>
        <w:spacing w:before="156" w:beforeLines="50"/>
        <w:ind w:firstLine="0"/>
        <w:jc w:val="center"/>
        <w:textAlignment w:val="auto"/>
        <w:rPr>
          <w:rFonts w:eastAsia="黑体"/>
          <w:b/>
          <w:sz w:val="36"/>
          <w:szCs w:val="36"/>
        </w:rPr>
      </w:pPr>
      <w:r>
        <w:rPr>
          <w:rFonts w:eastAsia="黑体"/>
          <w:b/>
          <w:sz w:val="36"/>
          <w:szCs w:val="36"/>
        </w:rPr>
        <w:t>二〇二</w:t>
      </w:r>
      <w:r>
        <w:rPr>
          <w:rFonts w:hint="eastAsia" w:eastAsia="黑体"/>
          <w:b/>
          <w:sz w:val="36"/>
          <w:szCs w:val="36"/>
        </w:rPr>
        <w:t>四</w:t>
      </w:r>
      <w:r>
        <w:rPr>
          <w:rFonts w:eastAsia="黑体"/>
          <w:b/>
          <w:sz w:val="36"/>
          <w:szCs w:val="36"/>
        </w:rPr>
        <w:t>年</w:t>
      </w:r>
      <w:r>
        <w:rPr>
          <w:rFonts w:hint="eastAsia" w:eastAsia="黑体"/>
          <w:b/>
          <w:sz w:val="36"/>
          <w:szCs w:val="36"/>
          <w:lang w:val="en-US" w:eastAsia="zh-CN"/>
        </w:rPr>
        <w:t>十一</w:t>
      </w:r>
      <w:r>
        <w:rPr>
          <w:rFonts w:eastAsia="黑体"/>
          <w:b/>
          <w:sz w:val="36"/>
          <w:szCs w:val="36"/>
        </w:rPr>
        <w:t>月</w:t>
      </w:r>
    </w:p>
    <w:p w14:paraId="16FE5B84">
      <w:pPr>
        <w:keepNext w:val="0"/>
        <w:keepLines w:val="0"/>
        <w:pageBreakBefore w:val="0"/>
        <w:widowControl w:val="0"/>
        <w:kinsoku/>
        <w:wordWrap/>
        <w:overflowPunct/>
        <w:topLinePunct w:val="0"/>
        <w:autoSpaceDE/>
        <w:autoSpaceDN/>
        <w:bidi w:val="0"/>
        <w:adjustRightInd/>
        <w:snapToGrid/>
        <w:ind w:firstLine="0"/>
        <w:textAlignment w:val="auto"/>
        <w:rPr>
          <w:rFonts w:eastAsia="黑体"/>
        </w:rPr>
        <w:sectPr>
          <w:headerReference r:id="rId5" w:type="first"/>
          <w:headerReference r:id="rId3" w:type="default"/>
          <w:footerReference r:id="rId6" w:type="default"/>
          <w:headerReference r:id="rId4" w:type="even"/>
          <w:footerReference r:id="rId7" w:type="even"/>
          <w:pgSz w:w="11906" w:h="16838"/>
          <w:pgMar w:top="1361" w:right="1531" w:bottom="1361" w:left="1531" w:header="851" w:footer="992" w:gutter="0"/>
          <w:pgNumType w:start="0"/>
          <w:cols w:space="720" w:num="1"/>
          <w:titlePg/>
          <w:docGrid w:type="lines" w:linePitch="312" w:charSpace="0"/>
        </w:sectPr>
      </w:pPr>
    </w:p>
    <w:p w14:paraId="750EFCE0">
      <w:pPr>
        <w:keepNext w:val="0"/>
        <w:keepLines w:val="0"/>
        <w:pageBreakBefore w:val="0"/>
        <w:widowControl w:val="0"/>
        <w:kinsoku/>
        <w:wordWrap/>
        <w:overflowPunct/>
        <w:topLinePunct w:val="0"/>
        <w:autoSpaceDE/>
        <w:autoSpaceDN/>
        <w:bidi w:val="0"/>
        <w:adjustRightInd/>
        <w:snapToGrid/>
        <w:spacing w:after="312" w:afterLines="100" w:line="280" w:lineRule="atLeast"/>
        <w:jc w:val="center"/>
        <w:textAlignment w:val="auto"/>
        <w:outlineLvl w:val="9"/>
        <w:rPr>
          <w:rFonts w:hint="default" w:ascii="Times New Roman" w:hAnsi="Times New Roman" w:eastAsia="黑体" w:cs="Times New Roman"/>
          <w:b w:val="0"/>
          <w:bCs/>
          <w:color w:val="auto"/>
          <w:sz w:val="32"/>
          <w:szCs w:val="32"/>
          <w:highlight w:val="none"/>
        </w:rPr>
      </w:pPr>
      <w:bookmarkStart w:id="0" w:name="_Toc27549"/>
      <w:r>
        <w:rPr>
          <w:rFonts w:hint="eastAsia" w:eastAsia="黑体" w:cs="Times New Roman"/>
          <w:b w:val="0"/>
          <w:bCs/>
          <w:color w:val="auto"/>
          <w:sz w:val="32"/>
          <w:szCs w:val="32"/>
          <w:highlight w:val="none"/>
          <w:lang w:val="en-US" w:eastAsia="zh-CN"/>
        </w:rPr>
        <w:t>文水县辐射事故</w:t>
      </w:r>
      <w:r>
        <w:rPr>
          <w:rFonts w:hint="default" w:ascii="Times New Roman" w:hAnsi="Times New Roman" w:eastAsia="黑体" w:cs="Times New Roman"/>
          <w:b w:val="0"/>
          <w:bCs/>
          <w:color w:val="auto"/>
          <w:sz w:val="32"/>
          <w:szCs w:val="32"/>
          <w:highlight w:val="none"/>
        </w:rPr>
        <w:t>应急预案修改说明</w:t>
      </w:r>
    </w:p>
    <w:tbl>
      <w:tblPr>
        <w:tblStyle w:val="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725"/>
        <w:gridCol w:w="3979"/>
      </w:tblGrid>
      <w:tr w14:paraId="17B8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24" w:type="dxa"/>
            <w:noWrap w:val="0"/>
            <w:vAlign w:val="center"/>
          </w:tcPr>
          <w:p w14:paraId="2B9754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序号</w:t>
            </w:r>
          </w:p>
        </w:tc>
        <w:tc>
          <w:tcPr>
            <w:tcW w:w="3725" w:type="dxa"/>
            <w:noWrap w:val="0"/>
            <w:vAlign w:val="center"/>
          </w:tcPr>
          <w:p w14:paraId="4190255B">
            <w:pPr>
              <w:keepNext w:val="0"/>
              <w:keepLines w:val="0"/>
              <w:pageBreakBefore w:val="0"/>
              <w:widowControl w:val="0"/>
              <w:kinsoku/>
              <w:wordWrap/>
              <w:overflowPunct/>
              <w:topLinePunct w:val="0"/>
              <w:autoSpaceDE/>
              <w:autoSpaceDN/>
              <w:bidi w:val="0"/>
              <w:adjustRightInd w:val="0"/>
              <w:snapToGrid w:val="0"/>
              <w:spacing w:line="240" w:lineRule="auto"/>
              <w:ind w:firstLine="39" w:firstLineChars="14"/>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评审意见</w:t>
            </w:r>
          </w:p>
        </w:tc>
        <w:tc>
          <w:tcPr>
            <w:tcW w:w="3979" w:type="dxa"/>
            <w:noWrap w:val="0"/>
            <w:vAlign w:val="center"/>
          </w:tcPr>
          <w:p w14:paraId="38D1463D">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修改说明</w:t>
            </w:r>
          </w:p>
        </w:tc>
      </w:tr>
      <w:tr w14:paraId="27F1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noWrap w:val="0"/>
            <w:vAlign w:val="center"/>
          </w:tcPr>
          <w:p w14:paraId="6F7B2568">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p>
        </w:tc>
        <w:tc>
          <w:tcPr>
            <w:tcW w:w="3725" w:type="dxa"/>
            <w:noWrap w:val="0"/>
            <w:vAlign w:val="center"/>
          </w:tcPr>
          <w:p w14:paraId="685BE476">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进一步完善《预案》与《山西省辐射事故应急预案》《吕梁市辐射事故应急预案》的衔接。</w:t>
            </w:r>
          </w:p>
        </w:tc>
        <w:tc>
          <w:tcPr>
            <w:tcW w:w="3979" w:type="dxa"/>
            <w:noWrap w:val="0"/>
            <w:vAlign w:val="center"/>
          </w:tcPr>
          <w:p w14:paraId="361CFE5C">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已完善</w:t>
            </w:r>
            <w:r>
              <w:rPr>
                <w:rFonts w:hint="eastAsia" w:ascii="Times New Roman" w:hAnsi="Times New Roman" w:eastAsia="仿宋_GB2312" w:cs="Times New Roman"/>
                <w:color w:val="auto"/>
                <w:sz w:val="28"/>
                <w:szCs w:val="28"/>
                <w:highlight w:val="none"/>
              </w:rPr>
              <w:t>《预案》与</w:t>
            </w:r>
            <w:r>
              <w:rPr>
                <w:rFonts w:hint="eastAsia" w:ascii="Times New Roman" w:hAnsi="Times New Roman" w:eastAsia="仿宋_GB2312" w:cs="Times New Roman"/>
                <w:color w:val="auto"/>
                <w:sz w:val="28"/>
                <w:szCs w:val="28"/>
                <w:highlight w:val="none"/>
                <w:lang w:val="en-US" w:eastAsia="zh-CN"/>
              </w:rPr>
              <w:t>《山西省辐射事故应急预案》《吕梁市辐射事故应急预案》</w:t>
            </w:r>
            <w:r>
              <w:rPr>
                <w:rFonts w:hint="eastAsia" w:ascii="Times New Roman" w:hAnsi="Times New Roman" w:eastAsia="仿宋_GB2312" w:cs="Times New Roman"/>
                <w:color w:val="auto"/>
                <w:sz w:val="28"/>
                <w:szCs w:val="28"/>
                <w:highlight w:val="none"/>
              </w:rPr>
              <w:t>的衔接</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见《预案》。</w:t>
            </w:r>
          </w:p>
        </w:tc>
      </w:tr>
      <w:tr w14:paraId="19B8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noWrap w:val="0"/>
            <w:vAlign w:val="center"/>
          </w:tcPr>
          <w:p w14:paraId="17BA9669">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p>
        </w:tc>
        <w:tc>
          <w:tcPr>
            <w:tcW w:w="3725" w:type="dxa"/>
            <w:noWrap w:val="0"/>
            <w:vAlign w:val="center"/>
          </w:tcPr>
          <w:p w14:paraId="2E7022EA">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进一步完善应急指挥体系、预警级别调整和解除、信息报告程序、应急监测。</w:t>
            </w:r>
          </w:p>
        </w:tc>
        <w:tc>
          <w:tcPr>
            <w:tcW w:w="3979" w:type="dxa"/>
            <w:noWrap w:val="0"/>
            <w:vAlign w:val="center"/>
          </w:tcPr>
          <w:p w14:paraId="778B26F9">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已</w:t>
            </w:r>
            <w:r>
              <w:rPr>
                <w:rFonts w:hint="eastAsia" w:ascii="Times New Roman" w:hAnsi="Times New Roman" w:eastAsia="仿宋_GB2312" w:cs="Times New Roman"/>
                <w:color w:val="auto"/>
                <w:sz w:val="28"/>
                <w:szCs w:val="28"/>
                <w:highlight w:val="none"/>
              </w:rPr>
              <w:t>进一步完善指挥体系</w:t>
            </w:r>
            <w:r>
              <w:rPr>
                <w:rFonts w:hint="eastAsia" w:ascii="Times New Roman" w:hAnsi="Times New Roman" w:eastAsia="仿宋_GB2312" w:cs="Times New Roman"/>
                <w:color w:val="auto"/>
                <w:sz w:val="28"/>
                <w:szCs w:val="28"/>
                <w:highlight w:val="none"/>
                <w:lang w:val="en-US" w:eastAsia="zh-CN"/>
              </w:rPr>
              <w:t>、预警级别调整和解除、信息报告程序、应急监测</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见P4</w:t>
            </w:r>
            <w:r>
              <w:rPr>
                <w:rFonts w:hint="eastAsia" w:eastAsia="仿宋_GB2312" w:cs="Times New Roman"/>
                <w:color w:val="auto"/>
                <w:sz w:val="28"/>
                <w:szCs w:val="28"/>
                <w:highlight w:val="none"/>
                <w:lang w:val="en-US" w:eastAsia="zh-CN"/>
              </w:rPr>
              <w:t>~P10</w:t>
            </w:r>
            <w:r>
              <w:rPr>
                <w:rFonts w:hint="eastAsia" w:ascii="Times New Roman" w:hAnsi="Times New Roman" w:eastAsia="仿宋_GB2312" w:cs="Times New Roman"/>
                <w:color w:val="auto"/>
                <w:sz w:val="28"/>
                <w:szCs w:val="28"/>
                <w:highlight w:val="none"/>
                <w:lang w:val="en-US" w:eastAsia="zh-CN"/>
              </w:rPr>
              <w:t>。</w:t>
            </w:r>
          </w:p>
        </w:tc>
      </w:tr>
      <w:tr w14:paraId="74EE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noWrap w:val="0"/>
            <w:vAlign w:val="center"/>
          </w:tcPr>
          <w:p w14:paraId="734F5F0C">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w:t>
            </w:r>
          </w:p>
        </w:tc>
        <w:tc>
          <w:tcPr>
            <w:tcW w:w="3725" w:type="dxa"/>
            <w:noWrap w:val="0"/>
            <w:vAlign w:val="center"/>
          </w:tcPr>
          <w:p w14:paraId="666B4817">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进一步完善文水县启动四级、三级、二级和一级响应程序，细化分级响应内容。</w:t>
            </w:r>
          </w:p>
        </w:tc>
        <w:tc>
          <w:tcPr>
            <w:tcW w:w="3979" w:type="dxa"/>
            <w:noWrap w:val="0"/>
            <w:vAlign w:val="center"/>
          </w:tcPr>
          <w:p w14:paraId="37671800">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已进一步完善文水县启动四级、三级、二级和一级响应程序，细化分级响应内容，见P</w:t>
            </w:r>
            <w:r>
              <w:rPr>
                <w:rFonts w:hint="eastAsia" w:eastAsia="仿宋_GB2312" w:cs="Times New Roman"/>
                <w:color w:val="auto"/>
                <w:sz w:val="28"/>
                <w:szCs w:val="28"/>
                <w:highlight w:val="none"/>
                <w:lang w:val="en-US" w:eastAsia="zh-CN"/>
              </w:rPr>
              <w:t>11~P13</w:t>
            </w:r>
            <w:r>
              <w:rPr>
                <w:rFonts w:hint="eastAsia" w:ascii="Times New Roman" w:hAnsi="Times New Roman" w:eastAsia="仿宋_GB2312" w:cs="Times New Roman"/>
                <w:color w:val="auto"/>
                <w:sz w:val="28"/>
                <w:szCs w:val="28"/>
                <w:highlight w:val="none"/>
                <w:lang w:val="en-US" w:eastAsia="zh-CN"/>
              </w:rPr>
              <w:t>。</w:t>
            </w:r>
          </w:p>
        </w:tc>
      </w:tr>
      <w:tr w14:paraId="3975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noWrap w:val="0"/>
            <w:vAlign w:val="center"/>
          </w:tcPr>
          <w:p w14:paraId="54C39A44">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4</w:t>
            </w:r>
          </w:p>
        </w:tc>
        <w:tc>
          <w:tcPr>
            <w:tcW w:w="3725" w:type="dxa"/>
            <w:noWrap w:val="0"/>
            <w:vAlign w:val="center"/>
          </w:tcPr>
          <w:p w14:paraId="2A554AB7">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进一步完善附件、相关文件。</w:t>
            </w:r>
          </w:p>
        </w:tc>
        <w:tc>
          <w:tcPr>
            <w:tcW w:w="3979" w:type="dxa"/>
            <w:noWrap w:val="0"/>
            <w:vAlign w:val="center"/>
          </w:tcPr>
          <w:p w14:paraId="1F78F241">
            <w:pPr>
              <w:keepNext w:val="0"/>
              <w:keepLines w:val="0"/>
              <w:pageBreakBefore w:val="0"/>
              <w:widowControl w:val="0"/>
              <w:kinsoku/>
              <w:wordWrap/>
              <w:overflowPunct/>
              <w:topLinePunct w:val="0"/>
              <w:autoSpaceDE/>
              <w:autoSpaceDN/>
              <w:bidi w:val="0"/>
              <w:adjustRightInd w:val="0"/>
              <w:snapToGrid w:val="0"/>
              <w:spacing w:line="240" w:lineRule="auto"/>
              <w:ind w:left="0" w:leftChars="-9" w:hanging="19" w:hangingChars="7"/>
              <w:jc w:val="left"/>
              <w:textAlignment w:val="auto"/>
              <w:rPr>
                <w:rFonts w:hint="default" w:ascii="Times New Roman" w:hAnsi="Times New Roman"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已进一步完善附件、相关文件，见附件。</w:t>
            </w:r>
          </w:p>
        </w:tc>
      </w:tr>
    </w:tbl>
    <w:p w14:paraId="31E3B0C0">
      <w:pPr>
        <w:adjustRightInd w:val="0"/>
        <w:snapToGrid w:val="0"/>
        <w:spacing w:line="360" w:lineRule="auto"/>
        <w:jc w:val="center"/>
        <w:rPr>
          <w:rFonts w:hint="eastAsia" w:ascii="方正小标宋简体" w:hAnsi="方正小标宋简体" w:eastAsia="方正小标宋简体" w:cs="方正小标宋简体"/>
          <w:bCs/>
          <w:color w:val="000000"/>
          <w:sz w:val="32"/>
          <w:szCs w:val="32"/>
        </w:rPr>
      </w:pPr>
    </w:p>
    <w:p w14:paraId="7B5C4276">
      <w:pPr>
        <w:adjustRightInd w:val="0"/>
        <w:snapToGrid w:val="0"/>
        <w:spacing w:line="360" w:lineRule="auto"/>
        <w:jc w:val="center"/>
        <w:rPr>
          <w:rFonts w:hint="eastAsia" w:ascii="仿宋" w:hAnsi="仿宋" w:eastAsia="仿宋" w:cs="仿宋"/>
          <w:b/>
          <w:color w:val="000000"/>
          <w:sz w:val="36"/>
          <w:szCs w:val="36"/>
        </w:rPr>
        <w:sectPr>
          <w:pgSz w:w="11906" w:h="16838"/>
          <w:pgMar w:top="2098" w:right="1474" w:bottom="1984" w:left="1587" w:header="851" w:footer="1587" w:gutter="0"/>
          <w:cols w:space="720" w:num="1"/>
          <w:docGrid w:type="lines" w:linePitch="318" w:charSpace="0"/>
        </w:sectPr>
      </w:pPr>
    </w:p>
    <w:sdt>
      <w:sdtPr>
        <w:rPr>
          <w:rFonts w:hint="eastAsia" w:ascii="仿宋_GB2312" w:hAnsi="仿宋_GB2312" w:eastAsia="仿宋_GB2312" w:cs="仿宋_GB2312"/>
          <w:b/>
          <w:bCs/>
          <w:kern w:val="2"/>
          <w:sz w:val="36"/>
          <w:szCs w:val="44"/>
          <w:lang w:val="en-US" w:eastAsia="zh-CN" w:bidi="ar-SA"/>
        </w:rPr>
        <w:id w:val="147470931"/>
        <w15:color w:val="DBDBDB"/>
        <w:docPartObj>
          <w:docPartGallery w:val="Table of Contents"/>
          <w:docPartUnique/>
        </w:docPartObj>
      </w:sdtPr>
      <w:sdtEndPr>
        <w:rPr>
          <w:rFonts w:hint="eastAsia" w:ascii="仿宋_GB2312" w:hAnsi="仿宋_GB2312" w:eastAsia="仿宋_GB2312" w:cs="仿宋_GB2312"/>
          <w:b/>
          <w:bCs/>
          <w:kern w:val="2"/>
          <w:sz w:val="36"/>
          <w:szCs w:val="44"/>
          <w:lang w:val="en-US" w:eastAsia="zh-CN" w:bidi="ar-SA"/>
        </w:rPr>
      </w:sdtEndPr>
      <w:sdtContent>
        <w:p w14:paraId="3B3929BE">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sz w:val="36"/>
              <w:szCs w:val="44"/>
            </w:rPr>
          </w:pPr>
          <w:r>
            <w:rPr>
              <w:rFonts w:hint="eastAsia" w:ascii="仿宋_GB2312" w:hAnsi="仿宋_GB2312" w:eastAsia="仿宋_GB2312" w:cs="仿宋_GB2312"/>
              <w:b/>
              <w:bCs/>
              <w:sz w:val="36"/>
              <w:szCs w:val="44"/>
            </w:rPr>
            <w:t>目</w:t>
          </w:r>
          <w:r>
            <w:rPr>
              <w:rFonts w:hint="eastAsia" w:ascii="仿宋_GB2312" w:hAnsi="仿宋_GB2312" w:eastAsia="仿宋_GB2312" w:cs="仿宋_GB2312"/>
              <w:b/>
              <w:bCs/>
              <w:sz w:val="36"/>
              <w:szCs w:val="44"/>
              <w:lang w:val="en-US" w:eastAsia="zh-CN"/>
            </w:rPr>
            <w:t xml:space="preserve">  </w:t>
          </w:r>
          <w:r>
            <w:rPr>
              <w:rFonts w:hint="eastAsia" w:ascii="仿宋_GB2312" w:hAnsi="仿宋_GB2312" w:eastAsia="仿宋_GB2312" w:cs="仿宋_GB2312"/>
              <w:b/>
              <w:bCs/>
              <w:sz w:val="36"/>
              <w:szCs w:val="44"/>
            </w:rPr>
            <w:t>录</w:t>
          </w:r>
        </w:p>
        <w:p w14:paraId="61DF26DB">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TOC \o "1-2" \h \u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_Toc31853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 总则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_Toc31853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2B43E67">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_Toc28981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 编制目的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_Toc28981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1AAF7DFB">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_Toc15986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 工作原则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_Toc15986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7997A622">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_Toc9257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1.3 编制依据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_Toc9257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1508DBD">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_Toc23086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 适用范围</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_Toc23086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E622A88">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_Toc21588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 预案体系和衔接关系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_Toc21588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F1F748F">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_Toc23600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 事故分级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_Toc23600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0292D9C">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_Toc16612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 指挥体系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_Toc16612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2ED40B8">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_Toc16486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 县生态环境事件应急指挥部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_Toc16486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1C98451A">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_Toc4532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2.2 县辐射事故应急现场指挥部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_Toc4532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C44DFFB">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_Toc25659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 预警机制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_Toc25659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BA1FD12">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_Toc14210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3.1 预警级别与发布</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_Toc14210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4AF7AF6">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_Toc17036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3.2 预警行动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_Toc17036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40E0BD62">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_Toc8830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3.3 预警级别调整和解除</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_Toc8830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07842D6">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_Toc4200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 应急处置与救援</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_Toc4200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B91A6C2">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_Toc10902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 信息报告与通报</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_Toc10902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4F13EC4">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_Toc18619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4.2 先期处置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_Toc18619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36C0930">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_Toc7922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4.3 应急响应</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_Toc7922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CAB4A20">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_Toc26186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4.4 应急措施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_Toc26186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A0EDF9A">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_Toc24185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4.5 响应终止</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_Toc24185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0B2D331">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_Toc18101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 后期处置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_Toc18101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1106C9DD">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_Toc10584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5.1 应急响应终止后的行动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_Toc10584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6AFDD63C">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_Toc18004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5.2 善后处置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_Toc18004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26F3370">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_Toc7137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5.3 总结评估</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_Toc7137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79BB76E7">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_Toc25641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 保障措施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_Toc25641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62F9564">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_Toc1338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6.1 资金保障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_Toc1338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80A346A">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_Toc30271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6.2 物资装备保障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_Toc30271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2D8DBEF9">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_Toc8373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6.3 通信保障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_Toc8373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78BAD749">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_Toc31281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6.4 技术保障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_Toc31281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5DB4D96">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_Toc11984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6.5 应急能力的保障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_Toc11984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1AAC4994">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_Toc10923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 附则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_Toc10923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BAFEEDA">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_Toc4896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7.1 预案管理与更新</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_Toc4896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40FD36FC">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_Toc2591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7.2 预案解释部门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_Toc2591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44200411">
          <w:pPr>
            <w:pStyle w:val="6"/>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_Toc1724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7.3 预案实施时间</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_Toc1724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7CB8EB8D">
          <w:pPr>
            <w:pStyle w:val="5"/>
            <w:tabs>
              <w:tab w:val="right" w:leader="dot" w:pos="8306"/>
            </w:tabs>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_Toc21513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附件</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1.文水县辐射事故应急响应流程图</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_Toc21513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BBF75FA">
          <w:pPr>
            <w:pStyle w:val="5"/>
            <w:tabs>
              <w:tab w:val="right" w:leader="dot" w:pos="8306"/>
            </w:tabs>
            <w:ind w:left="838" w:leftChars="399" w:firstLine="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_Toc10981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2.文水县辐射事故应急现场指挥部及其办公室、成员单位职责</w:t>
          </w:r>
          <w:r>
            <w:rPr>
              <w:rFonts w:hint="eastAsia" w:eastAsia="仿宋_GB2312" w:cs="Times New Roman"/>
              <w:sz w:val="28"/>
              <w:szCs w:val="28"/>
              <w:lang w:val="en-US" w:eastAsia="zh-CN"/>
            </w:rPr>
            <w:t>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_Toc10981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38FA096">
          <w:pPr>
            <w:pStyle w:val="5"/>
            <w:tabs>
              <w:tab w:val="right" w:leader="dot" w:pos="8306"/>
            </w:tabs>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_Toc4473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3.文水县辐射事故分级标准、响应条件及应急措施表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_Toc4473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3616C8B">
          <w:pPr>
            <w:pStyle w:val="5"/>
            <w:tabs>
              <w:tab w:val="right" w:leader="dot" w:pos="8306"/>
            </w:tabs>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_Toc26104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4.辐射事故初始报告表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_Toc26104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0C57CB7F">
          <w:pPr>
            <w:pStyle w:val="5"/>
            <w:tabs>
              <w:tab w:val="right" w:leader="dot" w:pos="8306"/>
            </w:tabs>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_Toc12984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5.辐射事故后续报告表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_Toc12984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3AFBF2D8">
          <w:pPr>
            <w:pStyle w:val="5"/>
            <w:tabs>
              <w:tab w:val="right" w:leader="dot" w:pos="8306"/>
            </w:tabs>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_Toc1266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辐射事故处理结果报告表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fldChar w:fldCharType="end"/>
          </w:r>
        </w:p>
        <w:p w14:paraId="512F499F">
          <w:pPr>
            <w:rPr>
              <w:b/>
            </w:rPr>
          </w:pPr>
          <w:r>
            <w:rPr>
              <w:rFonts w:hint="default" w:ascii="Times New Roman" w:hAnsi="Times New Roman" w:eastAsia="仿宋_GB2312" w:cs="Times New Roman"/>
              <w:sz w:val="28"/>
              <w:szCs w:val="28"/>
            </w:rPr>
            <w:fldChar w:fldCharType="end"/>
          </w:r>
        </w:p>
      </w:sdtContent>
    </w:sdt>
    <w:p w14:paraId="7DA0458D">
      <w:pPr>
        <w:rPr>
          <w:b/>
        </w:rPr>
        <w:sectPr>
          <w:pgSz w:w="11906" w:h="16838"/>
          <w:pgMar w:top="1440" w:right="1800" w:bottom="1440" w:left="1800" w:header="851" w:footer="992" w:gutter="0"/>
          <w:cols w:space="425" w:num="1"/>
          <w:docGrid w:type="lines" w:linePitch="312" w:charSpace="0"/>
        </w:sectPr>
      </w:pPr>
    </w:p>
    <w:p w14:paraId="1B23EA8F">
      <w:pPr>
        <w:spacing w:after="156" w:afterLines="50" w:line="600" w:lineRule="exact"/>
        <w:ind w:firstLine="640"/>
        <w:outlineLvl w:val="0"/>
        <w:rPr>
          <w:rFonts w:eastAsia="黑体"/>
          <w:sz w:val="32"/>
          <w:szCs w:val="32"/>
        </w:rPr>
      </w:pPr>
      <w:bookmarkStart w:id="1" w:name="_Toc31853"/>
      <w:r>
        <w:rPr>
          <w:rFonts w:eastAsia="黑体"/>
          <w:sz w:val="32"/>
          <w:szCs w:val="32"/>
        </w:rPr>
        <w:t>1 总则</w:t>
      </w:r>
      <w:bookmarkEnd w:id="0"/>
      <w:bookmarkEnd w:id="1"/>
    </w:p>
    <w:p w14:paraId="48BF0926">
      <w:pPr>
        <w:spacing w:line="600" w:lineRule="exact"/>
        <w:ind w:firstLine="600"/>
        <w:outlineLvl w:val="1"/>
        <w:rPr>
          <w:rFonts w:eastAsia="黑体"/>
          <w:sz w:val="30"/>
          <w:szCs w:val="30"/>
        </w:rPr>
      </w:pPr>
      <w:bookmarkStart w:id="2" w:name="_Toc267917324"/>
      <w:bookmarkStart w:id="3" w:name="_Toc28981"/>
      <w:bookmarkStart w:id="4" w:name="_Toc105"/>
      <w:r>
        <w:rPr>
          <w:rFonts w:eastAsia="黑体"/>
          <w:sz w:val="30"/>
          <w:szCs w:val="30"/>
        </w:rPr>
        <w:t>1.1 编制目的</w:t>
      </w:r>
      <w:bookmarkEnd w:id="2"/>
      <w:bookmarkEnd w:id="3"/>
      <w:bookmarkEnd w:id="4"/>
    </w:p>
    <w:p w14:paraId="3B469B99">
      <w:pPr>
        <w:spacing w:line="560" w:lineRule="exact"/>
        <w:ind w:firstLine="560" w:firstLineChars="200"/>
        <w:rPr>
          <w:rFonts w:eastAsia="仿宋"/>
          <w:sz w:val="28"/>
          <w:szCs w:val="28"/>
        </w:rPr>
      </w:pPr>
      <w:bookmarkStart w:id="5" w:name="_Toc267917325"/>
      <w:r>
        <w:rPr>
          <w:rFonts w:eastAsia="仿宋"/>
          <w:sz w:val="28"/>
          <w:szCs w:val="28"/>
        </w:rPr>
        <w:t>为了</w:t>
      </w:r>
      <w:r>
        <w:rPr>
          <w:rFonts w:hint="eastAsia" w:eastAsia="仿宋"/>
          <w:sz w:val="28"/>
          <w:szCs w:val="28"/>
        </w:rPr>
        <w:t>防患于未然，</w:t>
      </w:r>
      <w:r>
        <w:rPr>
          <w:rFonts w:eastAsia="仿宋"/>
          <w:sz w:val="28"/>
          <w:szCs w:val="28"/>
        </w:rPr>
        <w:t>健全辐射事故应对工作机制</w:t>
      </w:r>
      <w:r>
        <w:rPr>
          <w:rFonts w:hint="eastAsia" w:eastAsia="仿宋"/>
          <w:sz w:val="28"/>
          <w:szCs w:val="28"/>
        </w:rPr>
        <w:t>，</w:t>
      </w:r>
      <w:r>
        <w:rPr>
          <w:rFonts w:eastAsia="仿宋"/>
          <w:sz w:val="28"/>
          <w:szCs w:val="28"/>
        </w:rPr>
        <w:t>科学有效应对辐射事故</w:t>
      </w:r>
      <w:r>
        <w:rPr>
          <w:rFonts w:hint="eastAsia" w:eastAsia="仿宋"/>
          <w:sz w:val="28"/>
          <w:szCs w:val="28"/>
        </w:rPr>
        <w:t>，保障全县辐射环境安全，</w:t>
      </w:r>
      <w:r>
        <w:rPr>
          <w:rFonts w:eastAsia="仿宋"/>
          <w:sz w:val="28"/>
          <w:szCs w:val="28"/>
        </w:rPr>
        <w:t>最大限度减少损失和危害</w:t>
      </w:r>
      <w:r>
        <w:rPr>
          <w:rFonts w:hint="eastAsia" w:eastAsia="仿宋"/>
          <w:sz w:val="28"/>
          <w:szCs w:val="28"/>
        </w:rPr>
        <w:t>，</w:t>
      </w:r>
      <w:r>
        <w:rPr>
          <w:rFonts w:eastAsia="仿宋"/>
          <w:sz w:val="28"/>
          <w:szCs w:val="28"/>
        </w:rPr>
        <w:t>保护公众和从业人员的安全和健康</w:t>
      </w:r>
      <w:r>
        <w:rPr>
          <w:rFonts w:hint="eastAsia" w:eastAsia="仿宋"/>
          <w:sz w:val="28"/>
          <w:szCs w:val="28"/>
        </w:rPr>
        <w:t>，</w:t>
      </w:r>
      <w:r>
        <w:rPr>
          <w:rFonts w:eastAsia="仿宋"/>
          <w:sz w:val="28"/>
          <w:szCs w:val="28"/>
        </w:rPr>
        <w:t>保护辐射环境安全</w:t>
      </w:r>
      <w:r>
        <w:rPr>
          <w:rFonts w:hint="eastAsia" w:eastAsia="仿宋"/>
          <w:sz w:val="28"/>
          <w:szCs w:val="28"/>
        </w:rPr>
        <w:t>，维护社会稳定与和谐，</w:t>
      </w:r>
      <w:r>
        <w:rPr>
          <w:rFonts w:eastAsia="仿宋"/>
          <w:sz w:val="28"/>
          <w:szCs w:val="28"/>
        </w:rPr>
        <w:t>编制本预案。</w:t>
      </w:r>
    </w:p>
    <w:p w14:paraId="0F1A36DF">
      <w:pPr>
        <w:spacing w:line="600" w:lineRule="exact"/>
        <w:ind w:firstLine="600"/>
        <w:outlineLvl w:val="1"/>
        <w:rPr>
          <w:rFonts w:eastAsia="黑体"/>
          <w:sz w:val="30"/>
          <w:szCs w:val="30"/>
        </w:rPr>
      </w:pPr>
      <w:bookmarkStart w:id="6" w:name="_Toc7400"/>
      <w:bookmarkStart w:id="7" w:name="_Toc15986"/>
      <w:r>
        <w:rPr>
          <w:rFonts w:eastAsia="黑体"/>
          <w:sz w:val="30"/>
          <w:szCs w:val="30"/>
        </w:rPr>
        <w:t>1.</w:t>
      </w:r>
      <w:r>
        <w:rPr>
          <w:rFonts w:hint="eastAsia" w:eastAsia="黑体"/>
          <w:sz w:val="30"/>
          <w:szCs w:val="30"/>
        </w:rPr>
        <w:t>2</w:t>
      </w:r>
      <w:r>
        <w:rPr>
          <w:rFonts w:eastAsia="黑体"/>
          <w:sz w:val="30"/>
          <w:szCs w:val="30"/>
        </w:rPr>
        <w:t xml:space="preserve"> 工作原则</w:t>
      </w:r>
      <w:bookmarkEnd w:id="6"/>
      <w:bookmarkEnd w:id="7"/>
    </w:p>
    <w:p w14:paraId="47379412">
      <w:pPr>
        <w:pStyle w:val="7"/>
        <w:overflowPunct w:val="0"/>
        <w:spacing w:before="0" w:beforeAutospacing="0" w:after="0" w:afterAutospacing="0" w:line="560" w:lineRule="exact"/>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坚持</w:t>
      </w:r>
      <w:r>
        <w:rPr>
          <w:rFonts w:hint="eastAsia" w:ascii="Times New Roman" w:hAnsi="Times New Roman" w:eastAsia="仿宋" w:cs="Times New Roman"/>
          <w:color w:val="auto"/>
          <w:kern w:val="2"/>
          <w:sz w:val="28"/>
          <w:szCs w:val="28"/>
        </w:rPr>
        <w:t>贯彻</w:t>
      </w:r>
      <w:r>
        <w:rPr>
          <w:rFonts w:ascii="Times New Roman" w:hAnsi="Times New Roman" w:eastAsia="仿宋" w:cs="Times New Roman"/>
          <w:color w:val="auto"/>
          <w:kern w:val="2"/>
          <w:sz w:val="28"/>
          <w:szCs w:val="28"/>
        </w:rPr>
        <w:t>以人为本、预防</w:t>
      </w:r>
      <w:r>
        <w:rPr>
          <w:rFonts w:hint="eastAsia" w:ascii="Times New Roman" w:hAnsi="Times New Roman" w:eastAsia="仿宋" w:cs="Times New Roman"/>
          <w:color w:val="auto"/>
          <w:kern w:val="2"/>
          <w:sz w:val="28"/>
          <w:szCs w:val="28"/>
        </w:rPr>
        <w:t>为主</w:t>
      </w:r>
      <w:r>
        <w:rPr>
          <w:rFonts w:ascii="Times New Roman" w:hAnsi="Times New Roman" w:eastAsia="仿宋" w:cs="Times New Roman"/>
          <w:color w:val="auto"/>
          <w:kern w:val="2"/>
          <w:sz w:val="28"/>
          <w:szCs w:val="28"/>
        </w:rPr>
        <w:t>，统一领导、</w:t>
      </w:r>
      <w:r>
        <w:rPr>
          <w:rFonts w:hint="eastAsia" w:ascii="Times New Roman" w:hAnsi="Times New Roman" w:eastAsia="仿宋" w:cs="Times New Roman"/>
          <w:color w:val="auto"/>
          <w:kern w:val="2"/>
          <w:sz w:val="28"/>
          <w:szCs w:val="28"/>
        </w:rPr>
        <w:t>分类管理</w:t>
      </w:r>
      <w:r>
        <w:rPr>
          <w:rFonts w:ascii="Times New Roman" w:hAnsi="Times New Roman" w:eastAsia="仿宋" w:cs="Times New Roman"/>
          <w:color w:val="auto"/>
          <w:kern w:val="2"/>
          <w:sz w:val="28"/>
          <w:szCs w:val="28"/>
        </w:rPr>
        <w:t>，属地为主、</w:t>
      </w:r>
      <w:r>
        <w:rPr>
          <w:rFonts w:hint="eastAsia" w:ascii="Times New Roman" w:hAnsi="Times New Roman" w:eastAsia="仿宋" w:cs="Times New Roman"/>
          <w:color w:val="auto"/>
          <w:kern w:val="2"/>
          <w:sz w:val="28"/>
          <w:szCs w:val="28"/>
        </w:rPr>
        <w:t>分级响应</w:t>
      </w: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专兼结合</w:t>
      </w:r>
      <w:r>
        <w:rPr>
          <w:rFonts w:ascii="Times New Roman" w:hAnsi="Times New Roman" w:eastAsia="仿宋" w:cs="Times New Roman"/>
          <w:color w:val="auto"/>
          <w:kern w:val="2"/>
          <w:sz w:val="28"/>
          <w:szCs w:val="28"/>
        </w:rPr>
        <w:t>、</w:t>
      </w:r>
      <w:r>
        <w:rPr>
          <w:rFonts w:hint="eastAsia" w:ascii="Times New Roman" w:hAnsi="Times New Roman" w:eastAsia="仿宋" w:cs="Times New Roman"/>
          <w:color w:val="auto"/>
          <w:kern w:val="2"/>
          <w:sz w:val="28"/>
          <w:szCs w:val="28"/>
        </w:rPr>
        <w:t>充分利用现有资源</w:t>
      </w:r>
      <w:r>
        <w:rPr>
          <w:rFonts w:ascii="Times New Roman" w:hAnsi="Times New Roman" w:eastAsia="仿宋" w:cs="Times New Roman"/>
          <w:color w:val="auto"/>
          <w:kern w:val="2"/>
          <w:sz w:val="28"/>
          <w:szCs w:val="28"/>
        </w:rPr>
        <w:t>的</w:t>
      </w:r>
      <w:r>
        <w:rPr>
          <w:rFonts w:hint="eastAsia" w:ascii="Times New Roman" w:hAnsi="Times New Roman" w:eastAsia="仿宋" w:cs="Times New Roman"/>
          <w:color w:val="auto"/>
          <w:kern w:val="2"/>
          <w:sz w:val="28"/>
          <w:szCs w:val="28"/>
        </w:rPr>
        <w:t>工作</w:t>
      </w:r>
      <w:r>
        <w:rPr>
          <w:rFonts w:ascii="Times New Roman" w:hAnsi="Times New Roman" w:eastAsia="仿宋" w:cs="Times New Roman"/>
          <w:color w:val="auto"/>
          <w:kern w:val="2"/>
          <w:sz w:val="28"/>
          <w:szCs w:val="28"/>
        </w:rPr>
        <w:t>原则。</w:t>
      </w:r>
    </w:p>
    <w:p w14:paraId="259747F2">
      <w:pPr>
        <w:spacing w:line="600" w:lineRule="exact"/>
        <w:ind w:firstLine="600"/>
        <w:outlineLvl w:val="1"/>
        <w:rPr>
          <w:rFonts w:eastAsia="黑体"/>
          <w:sz w:val="30"/>
          <w:szCs w:val="30"/>
        </w:rPr>
      </w:pPr>
      <w:bookmarkStart w:id="8" w:name="_Toc9257"/>
      <w:bookmarkStart w:id="9" w:name="_Toc32117"/>
      <w:r>
        <w:rPr>
          <w:rFonts w:eastAsia="黑体"/>
          <w:sz w:val="30"/>
          <w:szCs w:val="30"/>
        </w:rPr>
        <w:t>1.</w:t>
      </w:r>
      <w:r>
        <w:rPr>
          <w:rFonts w:hint="eastAsia" w:eastAsia="黑体"/>
          <w:sz w:val="30"/>
          <w:szCs w:val="30"/>
        </w:rPr>
        <w:t>3</w:t>
      </w:r>
      <w:r>
        <w:rPr>
          <w:rFonts w:eastAsia="黑体"/>
          <w:sz w:val="30"/>
          <w:szCs w:val="30"/>
        </w:rPr>
        <w:t xml:space="preserve"> 编制依据</w:t>
      </w:r>
      <w:bookmarkEnd w:id="5"/>
      <w:bookmarkEnd w:id="8"/>
      <w:bookmarkEnd w:id="9"/>
    </w:p>
    <w:p w14:paraId="6A459B80">
      <w:pPr>
        <w:spacing w:line="560" w:lineRule="exact"/>
        <w:ind w:firstLine="560" w:firstLineChars="200"/>
        <w:rPr>
          <w:rFonts w:hint="eastAsia" w:eastAsia="仿宋"/>
          <w:sz w:val="28"/>
          <w:szCs w:val="28"/>
          <w:lang w:val="zh-CN" w:eastAsia="zh-CN"/>
        </w:rPr>
      </w:pPr>
      <w:r>
        <w:rPr>
          <w:rFonts w:eastAsia="仿宋"/>
          <w:sz w:val="28"/>
          <w:szCs w:val="28"/>
        </w:rPr>
        <w:t>《中华人民共和国突发事件应对法》《中华人民共和国放射性污染防治法》《放射性同位素与射线装置安全和防护条例》《放射性废物安全管理条例》《放射性物品运输安全管理条例》《山西省突发事件应对条例》《放射性同位素与射线装置安全和防护管理办法》《生态环境部办公厅关于加强核与辐射事故应急演习工作的指导意见》《电离辐射防护与辐射源安全基本标准》《国家突发公共事件总体应急预案》《国家突发环境事件应急预案》《生态环境部(国家核安全局)辐射事故应急预案》《山西省突发公共事件总体应急预案》《山西省辐射事故应急预案》《</w:t>
      </w:r>
      <w:r>
        <w:rPr>
          <w:rFonts w:hint="eastAsia" w:eastAsia="仿宋"/>
          <w:sz w:val="28"/>
          <w:szCs w:val="28"/>
        </w:rPr>
        <w:t>吕梁</w:t>
      </w:r>
      <w:r>
        <w:rPr>
          <w:rFonts w:eastAsia="仿宋"/>
          <w:sz w:val="28"/>
          <w:szCs w:val="28"/>
        </w:rPr>
        <w:t>市突发公共事件总体应急预案》《</w:t>
      </w:r>
      <w:r>
        <w:rPr>
          <w:rFonts w:hint="eastAsia" w:eastAsia="仿宋"/>
          <w:sz w:val="28"/>
          <w:szCs w:val="28"/>
        </w:rPr>
        <w:t>吕梁市</w:t>
      </w:r>
      <w:r>
        <w:rPr>
          <w:rFonts w:eastAsia="仿宋"/>
          <w:sz w:val="28"/>
          <w:szCs w:val="28"/>
        </w:rPr>
        <w:t>辐射事故应急预案》《</w:t>
      </w:r>
      <w:r>
        <w:rPr>
          <w:rFonts w:hint="eastAsia" w:eastAsia="仿宋"/>
          <w:sz w:val="28"/>
          <w:szCs w:val="28"/>
        </w:rPr>
        <w:t>文水县</w:t>
      </w:r>
      <w:r>
        <w:rPr>
          <w:rFonts w:eastAsia="仿宋"/>
          <w:sz w:val="28"/>
          <w:szCs w:val="28"/>
        </w:rPr>
        <w:t>突发事件总体应急预案》等突发环境事件应急预案</w:t>
      </w:r>
      <w:r>
        <w:rPr>
          <w:rFonts w:hint="eastAsia" w:eastAsia="仿宋"/>
          <w:sz w:val="28"/>
          <w:szCs w:val="28"/>
          <w:lang w:eastAsia="zh-CN"/>
        </w:rPr>
        <w:t>。</w:t>
      </w:r>
    </w:p>
    <w:p w14:paraId="280E83BC">
      <w:pPr>
        <w:spacing w:line="600" w:lineRule="exact"/>
        <w:ind w:firstLine="600"/>
        <w:outlineLvl w:val="1"/>
        <w:rPr>
          <w:rFonts w:eastAsia="黑体"/>
          <w:sz w:val="30"/>
          <w:szCs w:val="30"/>
        </w:rPr>
      </w:pPr>
      <w:bookmarkStart w:id="10" w:name="_Toc23086"/>
      <w:bookmarkStart w:id="11" w:name="_Toc9632"/>
      <w:bookmarkStart w:id="12" w:name="_Toc267917327"/>
      <w:r>
        <w:rPr>
          <w:rFonts w:eastAsia="黑体"/>
          <w:sz w:val="30"/>
          <w:szCs w:val="30"/>
        </w:rPr>
        <w:t>1.4 适用范围</w:t>
      </w:r>
      <w:bookmarkEnd w:id="10"/>
      <w:bookmarkEnd w:id="11"/>
      <w:bookmarkEnd w:id="12"/>
    </w:p>
    <w:p w14:paraId="43C22AC3">
      <w:pPr>
        <w:spacing w:line="560" w:lineRule="exact"/>
        <w:ind w:firstLine="560" w:firstLineChars="200"/>
        <w:rPr>
          <w:rFonts w:eastAsia="仿宋"/>
          <w:sz w:val="28"/>
          <w:szCs w:val="28"/>
        </w:rPr>
      </w:pPr>
      <w:bookmarkStart w:id="13" w:name="_Toc267917329"/>
      <w:r>
        <w:rPr>
          <w:rFonts w:eastAsia="仿宋"/>
          <w:sz w:val="28"/>
          <w:szCs w:val="28"/>
        </w:rPr>
        <w:t>本预案中辐射事故主要指</w:t>
      </w:r>
      <w:r>
        <w:rPr>
          <w:rFonts w:hint="eastAsia" w:eastAsia="仿宋"/>
          <w:sz w:val="28"/>
          <w:szCs w:val="28"/>
        </w:rPr>
        <w:t>文水县</w:t>
      </w:r>
      <w:r>
        <w:rPr>
          <w:rFonts w:eastAsia="仿宋"/>
          <w:sz w:val="28"/>
          <w:szCs w:val="28"/>
        </w:rPr>
        <w:t>境内下列设施或活动的放射</w:t>
      </w:r>
      <w:r>
        <w:rPr>
          <w:rFonts w:hint="eastAsia" w:eastAsia="仿宋"/>
          <w:sz w:val="28"/>
          <w:szCs w:val="28"/>
        </w:rPr>
        <w:t>性物质</w:t>
      </w:r>
      <w:r>
        <w:rPr>
          <w:rFonts w:eastAsia="仿宋"/>
          <w:sz w:val="28"/>
          <w:szCs w:val="28"/>
        </w:rPr>
        <w:t>丢失、被盗、失控，或者放射性物质和射线装置失控</w:t>
      </w:r>
      <w:r>
        <w:rPr>
          <w:rFonts w:hint="eastAsia" w:eastAsia="仿宋"/>
          <w:sz w:val="28"/>
          <w:szCs w:val="28"/>
        </w:rPr>
        <w:t>造成</w:t>
      </w:r>
      <w:r>
        <w:rPr>
          <w:rFonts w:eastAsia="仿宋"/>
          <w:sz w:val="28"/>
          <w:szCs w:val="28"/>
        </w:rPr>
        <w:t>人员受到意外的异常照射或者环境</w:t>
      </w:r>
      <w:r>
        <w:rPr>
          <w:rFonts w:hint="eastAsia" w:eastAsia="仿宋"/>
          <w:sz w:val="28"/>
          <w:szCs w:val="28"/>
        </w:rPr>
        <w:t>辐射污染后果</w:t>
      </w:r>
      <w:r>
        <w:rPr>
          <w:rFonts w:eastAsia="仿宋"/>
          <w:sz w:val="28"/>
          <w:szCs w:val="28"/>
        </w:rPr>
        <w:t>的事</w:t>
      </w:r>
      <w:r>
        <w:rPr>
          <w:rFonts w:hint="eastAsia" w:eastAsia="仿宋"/>
          <w:sz w:val="28"/>
          <w:szCs w:val="28"/>
        </w:rPr>
        <w:t>件</w:t>
      </w:r>
      <w:r>
        <w:rPr>
          <w:rFonts w:eastAsia="仿宋"/>
          <w:sz w:val="28"/>
          <w:szCs w:val="28"/>
        </w:rPr>
        <w:t>。</w:t>
      </w:r>
      <w:r>
        <w:rPr>
          <w:rFonts w:hint="eastAsia" w:eastAsia="仿宋"/>
          <w:sz w:val="28"/>
          <w:szCs w:val="28"/>
        </w:rPr>
        <w:t>主要包括：</w:t>
      </w:r>
      <w:r>
        <w:rPr>
          <w:rFonts w:eastAsia="仿宋"/>
          <w:sz w:val="28"/>
          <w:szCs w:val="28"/>
        </w:rPr>
        <w:t xml:space="preserve"> </w:t>
      </w:r>
    </w:p>
    <w:p w14:paraId="04F023BE">
      <w:pPr>
        <w:spacing w:line="560" w:lineRule="exact"/>
        <w:ind w:firstLine="560" w:firstLineChars="200"/>
        <w:rPr>
          <w:rFonts w:eastAsia="仿宋"/>
          <w:sz w:val="28"/>
          <w:szCs w:val="28"/>
        </w:rPr>
      </w:pPr>
      <w:r>
        <w:rPr>
          <w:rFonts w:eastAsia="仿宋"/>
          <w:sz w:val="28"/>
          <w:szCs w:val="28"/>
        </w:rPr>
        <w:t>（1）核技术利用</w:t>
      </w:r>
      <w:r>
        <w:rPr>
          <w:rFonts w:hint="eastAsia" w:eastAsia="仿宋"/>
          <w:sz w:val="28"/>
          <w:szCs w:val="28"/>
        </w:rPr>
        <w:t>中发生的辐射事故</w:t>
      </w:r>
      <w:r>
        <w:rPr>
          <w:rFonts w:eastAsia="仿宋"/>
          <w:sz w:val="28"/>
          <w:szCs w:val="28"/>
        </w:rPr>
        <w:t>；</w:t>
      </w:r>
    </w:p>
    <w:p w14:paraId="1CD3B06D">
      <w:pPr>
        <w:spacing w:line="560" w:lineRule="exact"/>
        <w:ind w:firstLine="560" w:firstLineChars="200"/>
        <w:rPr>
          <w:rFonts w:eastAsia="仿宋"/>
          <w:sz w:val="28"/>
          <w:szCs w:val="28"/>
        </w:rPr>
      </w:pPr>
      <w:r>
        <w:rPr>
          <w:rFonts w:eastAsia="仿宋"/>
          <w:sz w:val="28"/>
          <w:szCs w:val="28"/>
        </w:rPr>
        <w:t>（2）放射性</w:t>
      </w:r>
      <w:r>
        <w:rPr>
          <w:rFonts w:hint="eastAsia" w:eastAsia="仿宋"/>
          <w:sz w:val="28"/>
          <w:szCs w:val="28"/>
        </w:rPr>
        <w:t>废物处理、处置设施发生的辐射事故</w:t>
      </w:r>
      <w:r>
        <w:rPr>
          <w:rFonts w:eastAsia="仿宋"/>
          <w:sz w:val="28"/>
          <w:szCs w:val="28"/>
        </w:rPr>
        <w:t>；</w:t>
      </w:r>
    </w:p>
    <w:p w14:paraId="429AE4F1">
      <w:pPr>
        <w:spacing w:line="560" w:lineRule="exact"/>
        <w:ind w:firstLine="560" w:firstLineChars="200"/>
        <w:rPr>
          <w:rFonts w:eastAsia="仿宋"/>
          <w:sz w:val="28"/>
          <w:szCs w:val="28"/>
        </w:rPr>
      </w:pPr>
      <w:r>
        <w:rPr>
          <w:rFonts w:eastAsia="仿宋"/>
          <w:sz w:val="28"/>
          <w:szCs w:val="28"/>
        </w:rPr>
        <w:t>（3）</w:t>
      </w:r>
      <w:r>
        <w:rPr>
          <w:rFonts w:hint="eastAsia" w:eastAsia="仿宋"/>
          <w:sz w:val="28"/>
          <w:szCs w:val="28"/>
        </w:rPr>
        <w:t>铀矿冶及</w:t>
      </w:r>
      <w:r>
        <w:rPr>
          <w:rFonts w:eastAsia="仿宋"/>
          <w:sz w:val="28"/>
          <w:szCs w:val="28"/>
        </w:rPr>
        <w:t>伴生</w:t>
      </w:r>
      <w:r>
        <w:rPr>
          <w:rFonts w:hint="eastAsia" w:eastAsia="仿宋"/>
          <w:sz w:val="28"/>
          <w:szCs w:val="28"/>
        </w:rPr>
        <w:t>矿开发利用中发生的环境辐射污染事故</w:t>
      </w:r>
      <w:r>
        <w:rPr>
          <w:rFonts w:eastAsia="仿宋"/>
          <w:sz w:val="28"/>
          <w:szCs w:val="28"/>
        </w:rPr>
        <w:t>；</w:t>
      </w:r>
    </w:p>
    <w:p w14:paraId="52103F27">
      <w:pPr>
        <w:spacing w:line="560" w:lineRule="exact"/>
        <w:ind w:firstLine="560" w:firstLineChars="200"/>
        <w:rPr>
          <w:rFonts w:eastAsia="仿宋"/>
          <w:sz w:val="28"/>
          <w:szCs w:val="28"/>
        </w:rPr>
      </w:pPr>
      <w:r>
        <w:rPr>
          <w:rFonts w:eastAsia="仿宋"/>
          <w:sz w:val="28"/>
          <w:szCs w:val="28"/>
        </w:rPr>
        <w:t>（4）</w:t>
      </w:r>
      <w:r>
        <w:rPr>
          <w:rFonts w:hint="eastAsia" w:eastAsia="仿宋"/>
          <w:sz w:val="28"/>
          <w:szCs w:val="28"/>
        </w:rPr>
        <w:t>放射性物质运输中发生的事故</w:t>
      </w:r>
      <w:r>
        <w:rPr>
          <w:rFonts w:eastAsia="仿宋"/>
          <w:sz w:val="28"/>
          <w:szCs w:val="28"/>
        </w:rPr>
        <w:t>；</w:t>
      </w:r>
    </w:p>
    <w:p w14:paraId="2EF9B167">
      <w:pPr>
        <w:spacing w:line="560" w:lineRule="exact"/>
        <w:ind w:firstLine="560" w:firstLineChars="200"/>
        <w:rPr>
          <w:rFonts w:eastAsia="仿宋"/>
          <w:sz w:val="28"/>
          <w:szCs w:val="28"/>
        </w:rPr>
      </w:pPr>
      <w:r>
        <w:rPr>
          <w:rFonts w:eastAsia="仿宋"/>
          <w:sz w:val="28"/>
          <w:szCs w:val="28"/>
        </w:rPr>
        <w:t>（5）各种</w:t>
      </w:r>
      <w:r>
        <w:rPr>
          <w:rFonts w:hint="eastAsia" w:eastAsia="仿宋"/>
          <w:sz w:val="28"/>
          <w:szCs w:val="28"/>
        </w:rPr>
        <w:t>重大</w:t>
      </w:r>
      <w:r>
        <w:rPr>
          <w:rFonts w:eastAsia="仿宋"/>
          <w:sz w:val="28"/>
          <w:szCs w:val="28"/>
        </w:rPr>
        <w:t>自然灾害引发的次生辐射事故。</w:t>
      </w:r>
    </w:p>
    <w:p w14:paraId="6F3CE886">
      <w:pPr>
        <w:spacing w:line="560" w:lineRule="exact"/>
        <w:ind w:firstLine="560" w:firstLineChars="200"/>
        <w:rPr>
          <w:rFonts w:eastAsia="仿宋"/>
          <w:sz w:val="28"/>
          <w:szCs w:val="28"/>
        </w:rPr>
      </w:pPr>
      <w:r>
        <w:rPr>
          <w:rFonts w:eastAsia="仿宋"/>
          <w:sz w:val="28"/>
          <w:szCs w:val="28"/>
        </w:rPr>
        <w:t>国内外航天器在我</w:t>
      </w:r>
      <w:r>
        <w:rPr>
          <w:rFonts w:hint="eastAsia" w:eastAsia="仿宋"/>
          <w:sz w:val="28"/>
          <w:szCs w:val="28"/>
        </w:rPr>
        <w:t>县</w:t>
      </w:r>
      <w:r>
        <w:rPr>
          <w:rFonts w:eastAsia="仿宋"/>
          <w:sz w:val="28"/>
          <w:szCs w:val="28"/>
        </w:rPr>
        <w:t>行政</w:t>
      </w:r>
      <w:r>
        <w:rPr>
          <w:rFonts w:hint="eastAsia" w:eastAsia="仿宋"/>
          <w:sz w:val="28"/>
          <w:szCs w:val="28"/>
        </w:rPr>
        <w:t>区域</w:t>
      </w:r>
      <w:r>
        <w:rPr>
          <w:rFonts w:eastAsia="仿宋"/>
          <w:sz w:val="28"/>
          <w:szCs w:val="28"/>
        </w:rPr>
        <w:t>内坠落造成的环境</w:t>
      </w:r>
      <w:r>
        <w:rPr>
          <w:rFonts w:hint="eastAsia" w:eastAsia="仿宋"/>
          <w:sz w:val="28"/>
          <w:szCs w:val="28"/>
        </w:rPr>
        <w:t>辐射</w:t>
      </w:r>
      <w:r>
        <w:rPr>
          <w:rFonts w:eastAsia="仿宋"/>
          <w:sz w:val="28"/>
          <w:szCs w:val="28"/>
        </w:rPr>
        <w:t>污染事</w:t>
      </w:r>
      <w:r>
        <w:rPr>
          <w:rFonts w:hint="eastAsia" w:eastAsia="仿宋"/>
          <w:sz w:val="28"/>
          <w:szCs w:val="28"/>
        </w:rPr>
        <w:t>故</w:t>
      </w:r>
      <w:r>
        <w:rPr>
          <w:rFonts w:eastAsia="仿宋"/>
          <w:sz w:val="28"/>
          <w:szCs w:val="28"/>
        </w:rPr>
        <w:t>，以及可能对我</w:t>
      </w:r>
      <w:r>
        <w:rPr>
          <w:rFonts w:hint="eastAsia" w:eastAsia="仿宋"/>
          <w:sz w:val="28"/>
          <w:szCs w:val="28"/>
        </w:rPr>
        <w:t>县</w:t>
      </w:r>
      <w:r>
        <w:rPr>
          <w:rFonts w:eastAsia="仿宋"/>
          <w:sz w:val="28"/>
          <w:szCs w:val="28"/>
        </w:rPr>
        <w:t>环境造成辐射影响的</w:t>
      </w:r>
      <w:r>
        <w:rPr>
          <w:rFonts w:hint="eastAsia" w:eastAsia="仿宋"/>
          <w:sz w:val="28"/>
          <w:szCs w:val="28"/>
        </w:rPr>
        <w:t>县</w:t>
      </w:r>
      <w:r>
        <w:rPr>
          <w:rFonts w:eastAsia="仿宋"/>
          <w:sz w:val="28"/>
          <w:szCs w:val="28"/>
        </w:rPr>
        <w:t>域外核与辐射事故的应对工作，参照本预案执行。</w:t>
      </w:r>
    </w:p>
    <w:p w14:paraId="6B1D8ACB">
      <w:pPr>
        <w:spacing w:line="600" w:lineRule="exact"/>
        <w:ind w:firstLine="600"/>
        <w:outlineLvl w:val="1"/>
        <w:rPr>
          <w:rFonts w:eastAsia="黑体"/>
          <w:sz w:val="30"/>
          <w:szCs w:val="30"/>
        </w:rPr>
      </w:pPr>
      <w:bookmarkStart w:id="14" w:name="_Toc21588"/>
      <w:r>
        <w:rPr>
          <w:rFonts w:eastAsia="黑体"/>
          <w:sz w:val="30"/>
          <w:szCs w:val="30"/>
        </w:rPr>
        <w:t>1.</w:t>
      </w:r>
      <w:r>
        <w:rPr>
          <w:rFonts w:hint="eastAsia" w:eastAsia="黑体"/>
          <w:sz w:val="30"/>
          <w:szCs w:val="30"/>
        </w:rPr>
        <w:t>5</w:t>
      </w:r>
      <w:r>
        <w:rPr>
          <w:rFonts w:eastAsia="黑体"/>
          <w:sz w:val="30"/>
          <w:szCs w:val="30"/>
        </w:rPr>
        <w:t xml:space="preserve"> </w:t>
      </w:r>
      <w:r>
        <w:rPr>
          <w:rFonts w:hint="eastAsia" w:eastAsia="黑体"/>
          <w:sz w:val="30"/>
          <w:szCs w:val="30"/>
        </w:rPr>
        <w:t>预案体系和衔接关系</w:t>
      </w:r>
      <w:bookmarkEnd w:id="14"/>
    </w:p>
    <w:p w14:paraId="3927BA39">
      <w:pPr>
        <w:spacing w:line="560" w:lineRule="exact"/>
        <w:ind w:firstLine="560" w:firstLineChars="200"/>
        <w:rPr>
          <w:rFonts w:eastAsia="仿宋"/>
          <w:sz w:val="28"/>
          <w:szCs w:val="28"/>
        </w:rPr>
      </w:pPr>
      <w:r>
        <w:rPr>
          <w:rFonts w:hint="eastAsia" w:eastAsia="仿宋"/>
          <w:sz w:val="28"/>
          <w:szCs w:val="28"/>
        </w:rPr>
        <w:t>《文水县辐射事故应急预案》是辐射事故专项应急预案，我县相关部门辐射事故专项实施方案和相关企业操作方案与本预案</w:t>
      </w:r>
      <w:r>
        <w:rPr>
          <w:rFonts w:hint="eastAsia" w:eastAsia="仿宋"/>
          <w:sz w:val="28"/>
          <w:szCs w:val="28"/>
          <w:lang w:val="en-US" w:eastAsia="zh-CN"/>
        </w:rPr>
        <w:t>相</w:t>
      </w:r>
      <w:r>
        <w:rPr>
          <w:rFonts w:hint="eastAsia" w:eastAsia="仿宋"/>
          <w:sz w:val="28"/>
          <w:szCs w:val="28"/>
        </w:rPr>
        <w:t>衔接，以其为依据，对相关内容进行分解和细化，共同构成我县辐射事故应急预案体系</w:t>
      </w:r>
      <w:r>
        <w:rPr>
          <w:rFonts w:hint="eastAsia" w:eastAsia="仿宋"/>
          <w:sz w:val="28"/>
          <w:szCs w:val="28"/>
          <w:lang w:eastAsia="zh-CN"/>
        </w:rPr>
        <w:t>，</w:t>
      </w:r>
      <w:r>
        <w:rPr>
          <w:rFonts w:hint="eastAsia" w:eastAsia="仿宋"/>
          <w:sz w:val="28"/>
          <w:szCs w:val="28"/>
        </w:rPr>
        <w:t>是吕梁市辐射事故应急预案体系的组成部分。</w:t>
      </w:r>
    </w:p>
    <w:p w14:paraId="115C5E1F">
      <w:pPr>
        <w:spacing w:line="600" w:lineRule="exact"/>
        <w:ind w:firstLine="600"/>
        <w:outlineLvl w:val="1"/>
        <w:rPr>
          <w:rFonts w:eastAsia="黑体"/>
          <w:sz w:val="30"/>
          <w:szCs w:val="30"/>
        </w:rPr>
      </w:pPr>
      <w:bookmarkStart w:id="15" w:name="_Toc19419"/>
      <w:bookmarkStart w:id="16" w:name="_Toc23600"/>
      <w:r>
        <w:rPr>
          <w:rFonts w:eastAsia="黑体"/>
          <w:sz w:val="30"/>
          <w:szCs w:val="30"/>
        </w:rPr>
        <w:t>1.</w:t>
      </w:r>
      <w:r>
        <w:rPr>
          <w:rFonts w:hint="eastAsia" w:eastAsia="黑体"/>
          <w:sz w:val="30"/>
          <w:szCs w:val="30"/>
        </w:rPr>
        <w:t>6</w:t>
      </w:r>
      <w:r>
        <w:rPr>
          <w:rFonts w:eastAsia="黑体"/>
          <w:sz w:val="30"/>
          <w:szCs w:val="30"/>
        </w:rPr>
        <w:t xml:space="preserve"> </w:t>
      </w:r>
      <w:r>
        <w:rPr>
          <w:rFonts w:hint="eastAsia" w:eastAsia="黑体"/>
          <w:sz w:val="30"/>
          <w:szCs w:val="30"/>
        </w:rPr>
        <w:t>事故</w:t>
      </w:r>
      <w:r>
        <w:rPr>
          <w:rFonts w:eastAsia="黑体"/>
          <w:sz w:val="30"/>
          <w:szCs w:val="30"/>
        </w:rPr>
        <w:t>分级</w:t>
      </w:r>
      <w:bookmarkEnd w:id="15"/>
      <w:bookmarkEnd w:id="16"/>
    </w:p>
    <w:p w14:paraId="087A4A51">
      <w:pPr>
        <w:spacing w:line="560" w:lineRule="exact"/>
        <w:ind w:firstLine="560" w:firstLineChars="200"/>
        <w:rPr>
          <w:rFonts w:eastAsia="仿宋"/>
          <w:sz w:val="28"/>
          <w:szCs w:val="28"/>
        </w:rPr>
      </w:pPr>
      <w:r>
        <w:rPr>
          <w:rFonts w:eastAsia="仿宋"/>
          <w:sz w:val="28"/>
          <w:szCs w:val="28"/>
        </w:rPr>
        <w:t>根据辐射事故的性质、严重程度、可控性和影响范围等因素，将辐射事故分为特别重大辐射事故、重大辐射事故、较大辐射事故和一般辐射事故四个等级。辐射事故分级标准详见附件3。</w:t>
      </w:r>
    </w:p>
    <w:p w14:paraId="4C180345">
      <w:pPr>
        <w:spacing w:line="600" w:lineRule="exact"/>
        <w:ind w:firstLine="640"/>
        <w:outlineLvl w:val="0"/>
        <w:rPr>
          <w:rFonts w:eastAsia="黑体"/>
          <w:sz w:val="32"/>
          <w:szCs w:val="32"/>
        </w:rPr>
      </w:pPr>
      <w:bookmarkStart w:id="17" w:name="_Toc16612"/>
      <w:bookmarkStart w:id="18" w:name="_Toc18533"/>
      <w:r>
        <w:rPr>
          <w:rFonts w:eastAsia="黑体"/>
          <w:sz w:val="32"/>
          <w:szCs w:val="32"/>
        </w:rPr>
        <w:t>2 指挥体系</w:t>
      </w:r>
      <w:bookmarkEnd w:id="13"/>
      <w:bookmarkEnd w:id="17"/>
      <w:bookmarkEnd w:id="18"/>
    </w:p>
    <w:p w14:paraId="21D91DC9">
      <w:pPr>
        <w:ind w:firstLine="560" w:firstLineChars="200"/>
        <w:rPr>
          <w:rFonts w:eastAsia="仿宋"/>
          <w:sz w:val="28"/>
          <w:szCs w:val="28"/>
        </w:rPr>
      </w:pPr>
      <w:r>
        <w:rPr>
          <w:rFonts w:hint="eastAsia" w:eastAsia="仿宋"/>
          <w:sz w:val="28"/>
          <w:szCs w:val="28"/>
        </w:rPr>
        <w:t>县</w:t>
      </w:r>
      <w:r>
        <w:rPr>
          <w:rFonts w:eastAsia="仿宋"/>
          <w:sz w:val="28"/>
          <w:szCs w:val="28"/>
        </w:rPr>
        <w:t>辐射事故应急指挥体系由</w:t>
      </w:r>
      <w:r>
        <w:rPr>
          <w:rFonts w:hint="eastAsia" w:eastAsia="仿宋"/>
          <w:sz w:val="28"/>
          <w:szCs w:val="28"/>
        </w:rPr>
        <w:t>县</w:t>
      </w:r>
      <w:r>
        <w:rPr>
          <w:rFonts w:eastAsia="仿宋"/>
          <w:sz w:val="28"/>
          <w:szCs w:val="28"/>
        </w:rPr>
        <w:t>生态环境事件应急指挥部及其办公室组成。</w:t>
      </w:r>
    </w:p>
    <w:p w14:paraId="6E1D41B1">
      <w:pPr>
        <w:spacing w:line="600" w:lineRule="exact"/>
        <w:ind w:firstLine="600"/>
        <w:outlineLvl w:val="1"/>
        <w:rPr>
          <w:rFonts w:eastAsia="黑体"/>
          <w:sz w:val="30"/>
          <w:szCs w:val="30"/>
        </w:rPr>
      </w:pPr>
      <w:bookmarkStart w:id="19" w:name="_Toc16486"/>
      <w:bookmarkStart w:id="20" w:name="_Toc25285"/>
      <w:r>
        <w:rPr>
          <w:rFonts w:eastAsia="黑体"/>
          <w:sz w:val="30"/>
          <w:szCs w:val="30"/>
        </w:rPr>
        <w:t xml:space="preserve">2.1 </w:t>
      </w:r>
      <w:r>
        <w:rPr>
          <w:rFonts w:hint="eastAsia" w:eastAsia="黑体"/>
          <w:sz w:val="30"/>
          <w:szCs w:val="30"/>
        </w:rPr>
        <w:t>县</w:t>
      </w:r>
      <w:r>
        <w:rPr>
          <w:rFonts w:eastAsia="黑体"/>
          <w:sz w:val="30"/>
          <w:szCs w:val="30"/>
        </w:rPr>
        <w:t>生态环境事件应急指挥部</w:t>
      </w:r>
      <w:bookmarkEnd w:id="19"/>
      <w:bookmarkEnd w:id="20"/>
    </w:p>
    <w:p w14:paraId="1D150130">
      <w:pPr>
        <w:spacing w:line="560" w:lineRule="exact"/>
        <w:ind w:firstLine="562" w:firstLineChars="200"/>
        <w:rPr>
          <w:rFonts w:eastAsia="仿宋"/>
          <w:sz w:val="28"/>
          <w:szCs w:val="28"/>
          <w:lang w:val="zh-CN"/>
        </w:rPr>
      </w:pPr>
      <w:r>
        <w:rPr>
          <w:rFonts w:eastAsia="仿宋"/>
          <w:b/>
          <w:bCs/>
          <w:sz w:val="28"/>
          <w:szCs w:val="28"/>
          <w:lang w:val="zh-CN"/>
        </w:rPr>
        <w:t>指 挥 长</w:t>
      </w:r>
      <w:r>
        <w:rPr>
          <w:rFonts w:eastAsia="仿宋"/>
          <w:sz w:val="28"/>
          <w:szCs w:val="28"/>
          <w:lang w:val="zh-CN"/>
        </w:rPr>
        <w:t>：</w:t>
      </w:r>
      <w:r>
        <w:rPr>
          <w:rFonts w:hint="eastAsia" w:eastAsia="仿宋"/>
          <w:sz w:val="28"/>
          <w:szCs w:val="28"/>
        </w:rPr>
        <w:t>县</w:t>
      </w:r>
      <w:r>
        <w:rPr>
          <w:rFonts w:eastAsia="仿宋"/>
          <w:sz w:val="28"/>
          <w:szCs w:val="28"/>
        </w:rPr>
        <w:t>政府分管副</w:t>
      </w:r>
      <w:r>
        <w:rPr>
          <w:rFonts w:hint="eastAsia" w:eastAsia="仿宋"/>
          <w:sz w:val="28"/>
          <w:szCs w:val="28"/>
        </w:rPr>
        <w:t>县</w:t>
      </w:r>
      <w:r>
        <w:rPr>
          <w:rFonts w:eastAsia="仿宋"/>
          <w:sz w:val="28"/>
          <w:szCs w:val="28"/>
        </w:rPr>
        <w:t>长</w:t>
      </w:r>
    </w:p>
    <w:p w14:paraId="2CD8BDFE">
      <w:pPr>
        <w:spacing w:line="560" w:lineRule="exact"/>
        <w:ind w:firstLine="562" w:firstLineChars="200"/>
        <w:rPr>
          <w:rFonts w:eastAsia="仿宋"/>
          <w:sz w:val="28"/>
          <w:szCs w:val="28"/>
          <w:lang w:val="zh-CN"/>
        </w:rPr>
      </w:pPr>
      <w:r>
        <w:rPr>
          <w:rFonts w:eastAsia="仿宋"/>
          <w:b/>
          <w:bCs/>
          <w:sz w:val="28"/>
          <w:szCs w:val="28"/>
          <w:lang w:val="zh-CN"/>
        </w:rPr>
        <w:t>副指挥长</w:t>
      </w:r>
      <w:r>
        <w:rPr>
          <w:rFonts w:eastAsia="仿宋"/>
          <w:sz w:val="28"/>
          <w:szCs w:val="28"/>
          <w:lang w:val="zh-CN"/>
        </w:rPr>
        <w:t>：</w:t>
      </w:r>
      <w:r>
        <w:rPr>
          <w:rFonts w:hint="eastAsia" w:eastAsia="仿宋"/>
          <w:sz w:val="28"/>
          <w:szCs w:val="28"/>
        </w:rPr>
        <w:t>县人民政府办公</w:t>
      </w:r>
      <w:r>
        <w:rPr>
          <w:rFonts w:hint="eastAsia" w:eastAsia="仿宋"/>
          <w:sz w:val="28"/>
          <w:szCs w:val="28"/>
          <w:lang w:val="en-US" w:eastAsia="zh-CN"/>
        </w:rPr>
        <w:t>室</w:t>
      </w:r>
      <w:r>
        <w:rPr>
          <w:rFonts w:hint="eastAsia" w:eastAsia="仿宋"/>
          <w:sz w:val="28"/>
          <w:szCs w:val="28"/>
        </w:rPr>
        <w:t>副主任</w:t>
      </w:r>
      <w:r>
        <w:rPr>
          <w:rFonts w:eastAsia="仿宋"/>
          <w:sz w:val="28"/>
          <w:szCs w:val="28"/>
          <w:lang w:val="zh-CN"/>
        </w:rPr>
        <w:t>，</w:t>
      </w:r>
      <w:r>
        <w:rPr>
          <w:rFonts w:hint="eastAsia" w:eastAsia="仿宋"/>
          <w:sz w:val="28"/>
          <w:szCs w:val="28"/>
        </w:rPr>
        <w:t>吕梁市</w:t>
      </w:r>
      <w:r>
        <w:rPr>
          <w:rFonts w:eastAsia="仿宋"/>
          <w:sz w:val="28"/>
          <w:szCs w:val="28"/>
          <w:lang w:val="zh-CN"/>
        </w:rPr>
        <w:t>生态环境局</w:t>
      </w:r>
      <w:r>
        <w:rPr>
          <w:rFonts w:hint="eastAsia" w:eastAsia="仿宋"/>
          <w:sz w:val="28"/>
          <w:szCs w:val="28"/>
        </w:rPr>
        <w:t>文水</w:t>
      </w:r>
      <w:r>
        <w:rPr>
          <w:rFonts w:eastAsia="仿宋"/>
          <w:sz w:val="28"/>
          <w:szCs w:val="28"/>
        </w:rPr>
        <w:t>分局局长</w:t>
      </w:r>
      <w:r>
        <w:rPr>
          <w:rFonts w:hint="eastAsia" w:eastAsia="仿宋"/>
          <w:sz w:val="28"/>
          <w:szCs w:val="28"/>
          <w:lang w:val="zh-CN"/>
        </w:rPr>
        <w:t>、</w:t>
      </w:r>
      <w:r>
        <w:rPr>
          <w:rFonts w:hint="eastAsia" w:eastAsia="仿宋"/>
          <w:sz w:val="28"/>
          <w:szCs w:val="28"/>
        </w:rPr>
        <w:t>县</w:t>
      </w:r>
      <w:r>
        <w:rPr>
          <w:rFonts w:eastAsia="仿宋"/>
          <w:sz w:val="28"/>
          <w:szCs w:val="28"/>
          <w:lang w:val="zh-CN"/>
        </w:rPr>
        <w:t>应急管理局</w:t>
      </w:r>
      <w:r>
        <w:rPr>
          <w:rFonts w:eastAsia="仿宋"/>
          <w:sz w:val="28"/>
          <w:szCs w:val="28"/>
        </w:rPr>
        <w:t>局长</w:t>
      </w:r>
      <w:r>
        <w:rPr>
          <w:rFonts w:hint="eastAsia" w:eastAsia="仿宋"/>
          <w:sz w:val="28"/>
          <w:szCs w:val="28"/>
          <w:lang w:val="zh-CN"/>
        </w:rPr>
        <w:t>、</w:t>
      </w:r>
      <w:r>
        <w:rPr>
          <w:rFonts w:hint="eastAsia" w:eastAsia="仿宋"/>
          <w:sz w:val="28"/>
          <w:szCs w:val="28"/>
        </w:rPr>
        <w:t>县</w:t>
      </w:r>
      <w:r>
        <w:rPr>
          <w:rFonts w:eastAsia="仿宋"/>
          <w:sz w:val="28"/>
          <w:szCs w:val="28"/>
        </w:rPr>
        <w:t>人民武装部副部长</w:t>
      </w:r>
      <w:r>
        <w:rPr>
          <w:rFonts w:hint="eastAsia" w:eastAsia="仿宋"/>
          <w:sz w:val="28"/>
          <w:szCs w:val="28"/>
          <w:lang w:val="zh-CN"/>
        </w:rPr>
        <w:t>、</w:t>
      </w:r>
      <w:r>
        <w:rPr>
          <w:rFonts w:eastAsia="仿宋"/>
          <w:sz w:val="28"/>
          <w:szCs w:val="28"/>
          <w:lang w:val="zh-CN"/>
        </w:rPr>
        <w:t>武警</w:t>
      </w:r>
      <w:r>
        <w:rPr>
          <w:rFonts w:hint="eastAsia" w:eastAsia="仿宋"/>
          <w:sz w:val="28"/>
          <w:szCs w:val="28"/>
        </w:rPr>
        <w:t>文水</w:t>
      </w:r>
      <w:r>
        <w:rPr>
          <w:rFonts w:eastAsia="仿宋"/>
          <w:sz w:val="28"/>
          <w:szCs w:val="28"/>
          <w:lang w:val="zh-CN"/>
        </w:rPr>
        <w:t>中队</w:t>
      </w:r>
      <w:r>
        <w:rPr>
          <w:rFonts w:eastAsia="仿宋"/>
          <w:sz w:val="28"/>
          <w:szCs w:val="28"/>
        </w:rPr>
        <w:t>中队长</w:t>
      </w:r>
      <w:r>
        <w:rPr>
          <w:rFonts w:hint="eastAsia" w:eastAsia="仿宋"/>
          <w:sz w:val="28"/>
          <w:szCs w:val="28"/>
          <w:lang w:val="zh-CN"/>
        </w:rPr>
        <w:t>、</w:t>
      </w:r>
      <w:r>
        <w:rPr>
          <w:rFonts w:hint="eastAsia" w:eastAsia="仿宋"/>
          <w:sz w:val="28"/>
          <w:szCs w:val="28"/>
        </w:rPr>
        <w:t>县</w:t>
      </w:r>
      <w:r>
        <w:rPr>
          <w:rFonts w:eastAsia="仿宋"/>
          <w:sz w:val="28"/>
          <w:szCs w:val="28"/>
          <w:lang w:val="zh-CN"/>
        </w:rPr>
        <w:t>消防救援大队</w:t>
      </w:r>
      <w:r>
        <w:rPr>
          <w:rFonts w:hint="eastAsia" w:eastAsia="仿宋"/>
          <w:sz w:val="28"/>
          <w:szCs w:val="28"/>
        </w:rPr>
        <w:t>大</w:t>
      </w:r>
      <w:r>
        <w:rPr>
          <w:rFonts w:eastAsia="仿宋"/>
          <w:sz w:val="28"/>
          <w:szCs w:val="28"/>
        </w:rPr>
        <w:t>队长。</w:t>
      </w:r>
    </w:p>
    <w:p w14:paraId="13E578FC">
      <w:pPr>
        <w:spacing w:line="560" w:lineRule="exact"/>
        <w:ind w:firstLine="562" w:firstLineChars="200"/>
        <w:rPr>
          <w:rFonts w:eastAsia="仿宋"/>
          <w:sz w:val="28"/>
          <w:szCs w:val="28"/>
          <w:lang w:val="zh-CN"/>
        </w:rPr>
      </w:pPr>
      <w:r>
        <w:rPr>
          <w:rFonts w:eastAsia="仿宋"/>
          <w:b/>
          <w:bCs/>
          <w:sz w:val="28"/>
          <w:szCs w:val="28"/>
          <w:lang w:val="zh-CN"/>
        </w:rPr>
        <w:t>成    员</w:t>
      </w:r>
      <w:r>
        <w:rPr>
          <w:rFonts w:eastAsia="仿宋"/>
          <w:sz w:val="28"/>
          <w:szCs w:val="28"/>
          <w:lang w:val="zh-CN"/>
        </w:rPr>
        <w:t>：有关单位分管负责人</w:t>
      </w:r>
    </w:p>
    <w:p w14:paraId="221963A3">
      <w:pPr>
        <w:spacing w:line="560" w:lineRule="exact"/>
        <w:ind w:firstLine="560" w:firstLineChars="200"/>
        <w:rPr>
          <w:sz w:val="28"/>
          <w:szCs w:val="28"/>
        </w:rPr>
      </w:pPr>
      <w:r>
        <w:rPr>
          <w:rFonts w:hint="eastAsia" w:eastAsia="仿宋"/>
          <w:sz w:val="28"/>
          <w:szCs w:val="28"/>
        </w:rPr>
        <w:t>县</w:t>
      </w:r>
      <w:r>
        <w:rPr>
          <w:rFonts w:eastAsia="仿宋"/>
          <w:sz w:val="28"/>
          <w:szCs w:val="28"/>
        </w:rPr>
        <w:t>生态环境事件应急指挥部（以下简称</w:t>
      </w:r>
      <w:r>
        <w:rPr>
          <w:rFonts w:hint="eastAsia" w:eastAsia="仿宋"/>
          <w:sz w:val="28"/>
          <w:szCs w:val="28"/>
        </w:rPr>
        <w:t>县</w:t>
      </w:r>
      <w:r>
        <w:rPr>
          <w:rFonts w:eastAsia="仿宋"/>
          <w:sz w:val="28"/>
          <w:szCs w:val="28"/>
        </w:rPr>
        <w:t>指挥部）下设办公室。办公室设在</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分局，主任由</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分局局长兼任。</w:t>
      </w:r>
    </w:p>
    <w:p w14:paraId="634B9FC9">
      <w:pPr>
        <w:spacing w:line="600" w:lineRule="exact"/>
        <w:ind w:firstLine="600"/>
        <w:outlineLvl w:val="1"/>
        <w:rPr>
          <w:rFonts w:eastAsia="黑体"/>
          <w:sz w:val="30"/>
          <w:szCs w:val="30"/>
        </w:rPr>
      </w:pPr>
      <w:bookmarkStart w:id="21" w:name="_Toc4532"/>
      <w:bookmarkStart w:id="22" w:name="_Toc2717"/>
      <w:r>
        <w:rPr>
          <w:rFonts w:eastAsia="黑体"/>
          <w:sz w:val="30"/>
          <w:szCs w:val="30"/>
        </w:rPr>
        <w:t xml:space="preserve">2.2 </w:t>
      </w:r>
      <w:r>
        <w:rPr>
          <w:rFonts w:hint="eastAsia" w:eastAsia="黑体"/>
          <w:sz w:val="30"/>
          <w:szCs w:val="30"/>
        </w:rPr>
        <w:t>县</w:t>
      </w:r>
      <w:r>
        <w:rPr>
          <w:rFonts w:eastAsia="黑体"/>
          <w:sz w:val="30"/>
          <w:szCs w:val="30"/>
        </w:rPr>
        <w:t>辐射事故应急现场指挥部</w:t>
      </w:r>
      <w:bookmarkEnd w:id="21"/>
      <w:bookmarkEnd w:id="22"/>
    </w:p>
    <w:p w14:paraId="1E975640">
      <w:pPr>
        <w:spacing w:line="560" w:lineRule="exact"/>
        <w:ind w:firstLine="560" w:firstLineChars="200"/>
        <w:rPr>
          <w:rFonts w:eastAsia="仿宋"/>
          <w:sz w:val="28"/>
          <w:szCs w:val="28"/>
        </w:rPr>
      </w:pPr>
      <w:r>
        <w:rPr>
          <w:rFonts w:eastAsia="仿宋"/>
          <w:sz w:val="28"/>
          <w:szCs w:val="28"/>
        </w:rPr>
        <w:t>指挥长：</w:t>
      </w:r>
      <w:r>
        <w:rPr>
          <w:rFonts w:hint="eastAsia" w:eastAsia="仿宋"/>
          <w:sz w:val="28"/>
          <w:szCs w:val="28"/>
        </w:rPr>
        <w:t>文水县</w:t>
      </w:r>
      <w:r>
        <w:rPr>
          <w:rFonts w:eastAsia="仿宋"/>
          <w:sz w:val="28"/>
          <w:szCs w:val="28"/>
        </w:rPr>
        <w:t>分管副</w:t>
      </w:r>
      <w:r>
        <w:rPr>
          <w:rFonts w:hint="eastAsia" w:eastAsia="仿宋"/>
          <w:sz w:val="28"/>
          <w:szCs w:val="28"/>
        </w:rPr>
        <w:t>县</w:t>
      </w:r>
      <w:r>
        <w:rPr>
          <w:rFonts w:eastAsia="仿宋"/>
          <w:sz w:val="28"/>
          <w:szCs w:val="28"/>
        </w:rPr>
        <w:t>长</w:t>
      </w:r>
    </w:p>
    <w:p w14:paraId="3575DF60">
      <w:pPr>
        <w:spacing w:line="560" w:lineRule="exact"/>
        <w:ind w:firstLine="560" w:firstLineChars="200"/>
        <w:rPr>
          <w:rFonts w:eastAsia="仿宋"/>
          <w:sz w:val="28"/>
          <w:szCs w:val="28"/>
        </w:rPr>
      </w:pPr>
      <w:r>
        <w:rPr>
          <w:rFonts w:eastAsia="仿宋"/>
          <w:sz w:val="28"/>
          <w:szCs w:val="28"/>
        </w:rPr>
        <w:t>副指挥长：</w:t>
      </w:r>
      <w:r>
        <w:rPr>
          <w:rFonts w:hint="eastAsia" w:eastAsia="仿宋"/>
          <w:sz w:val="28"/>
          <w:szCs w:val="28"/>
        </w:rPr>
        <w:t>县人民政府办公</w:t>
      </w:r>
      <w:r>
        <w:rPr>
          <w:rFonts w:hint="eastAsia" w:eastAsia="仿宋"/>
          <w:sz w:val="28"/>
          <w:szCs w:val="28"/>
          <w:lang w:val="en-US" w:eastAsia="zh-CN"/>
        </w:rPr>
        <w:t>室</w:t>
      </w:r>
      <w:r>
        <w:rPr>
          <w:rFonts w:hint="eastAsia" w:eastAsia="仿宋"/>
          <w:sz w:val="28"/>
          <w:szCs w:val="28"/>
        </w:rPr>
        <w:t>副主任</w:t>
      </w:r>
      <w:r>
        <w:rPr>
          <w:rFonts w:eastAsia="仿宋"/>
          <w:sz w:val="28"/>
          <w:szCs w:val="28"/>
          <w:lang w:val="zh-CN"/>
        </w:rPr>
        <w:t>，</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分局局长</w:t>
      </w:r>
      <w:r>
        <w:rPr>
          <w:rFonts w:hint="eastAsia" w:eastAsia="仿宋"/>
          <w:sz w:val="28"/>
          <w:szCs w:val="28"/>
          <w:lang w:val="zh-CN"/>
        </w:rPr>
        <w:t>、</w:t>
      </w:r>
      <w:r>
        <w:rPr>
          <w:rFonts w:hint="eastAsia" w:eastAsia="仿宋"/>
          <w:sz w:val="28"/>
          <w:szCs w:val="28"/>
        </w:rPr>
        <w:t>县</w:t>
      </w:r>
      <w:r>
        <w:rPr>
          <w:rFonts w:eastAsia="仿宋"/>
          <w:sz w:val="28"/>
          <w:szCs w:val="28"/>
          <w:lang w:val="zh-CN"/>
        </w:rPr>
        <w:t>应急管理局</w:t>
      </w:r>
      <w:r>
        <w:rPr>
          <w:rFonts w:eastAsia="仿宋"/>
          <w:sz w:val="28"/>
          <w:szCs w:val="28"/>
        </w:rPr>
        <w:t>局长</w:t>
      </w:r>
      <w:r>
        <w:rPr>
          <w:rFonts w:hint="eastAsia" w:eastAsia="仿宋"/>
          <w:sz w:val="28"/>
          <w:szCs w:val="28"/>
          <w:lang w:val="zh-CN"/>
        </w:rPr>
        <w:t>、</w:t>
      </w:r>
      <w:r>
        <w:rPr>
          <w:rFonts w:hint="eastAsia" w:eastAsia="仿宋"/>
          <w:sz w:val="28"/>
          <w:szCs w:val="28"/>
        </w:rPr>
        <w:t>县人民武装部副部长</w:t>
      </w:r>
      <w:r>
        <w:rPr>
          <w:rFonts w:hint="eastAsia" w:eastAsia="仿宋"/>
          <w:sz w:val="28"/>
          <w:szCs w:val="28"/>
          <w:lang w:val="zh-CN"/>
        </w:rPr>
        <w:t>、武警</w:t>
      </w:r>
      <w:r>
        <w:rPr>
          <w:rFonts w:hint="eastAsia" w:eastAsia="仿宋"/>
          <w:sz w:val="28"/>
          <w:szCs w:val="28"/>
        </w:rPr>
        <w:t>文水</w:t>
      </w:r>
      <w:r>
        <w:rPr>
          <w:rFonts w:hint="eastAsia" w:eastAsia="仿宋"/>
          <w:sz w:val="28"/>
          <w:szCs w:val="28"/>
          <w:lang w:val="zh-CN"/>
        </w:rPr>
        <w:t>中队</w:t>
      </w:r>
      <w:r>
        <w:rPr>
          <w:rFonts w:hint="eastAsia" w:eastAsia="仿宋"/>
          <w:sz w:val="28"/>
          <w:szCs w:val="28"/>
        </w:rPr>
        <w:t>中队长</w:t>
      </w:r>
      <w:r>
        <w:rPr>
          <w:rFonts w:hint="eastAsia" w:eastAsia="仿宋"/>
          <w:sz w:val="28"/>
          <w:szCs w:val="28"/>
          <w:lang w:val="zh-CN"/>
        </w:rPr>
        <w:t>、</w:t>
      </w:r>
      <w:r>
        <w:rPr>
          <w:rFonts w:hint="eastAsia" w:eastAsia="仿宋"/>
          <w:sz w:val="28"/>
          <w:szCs w:val="28"/>
        </w:rPr>
        <w:t>县</w:t>
      </w:r>
      <w:r>
        <w:rPr>
          <w:rFonts w:eastAsia="仿宋"/>
          <w:sz w:val="28"/>
          <w:szCs w:val="28"/>
          <w:lang w:val="zh-CN"/>
        </w:rPr>
        <w:t>消防救援大队</w:t>
      </w:r>
      <w:r>
        <w:rPr>
          <w:rFonts w:hint="eastAsia" w:eastAsia="仿宋"/>
          <w:sz w:val="28"/>
          <w:szCs w:val="28"/>
        </w:rPr>
        <w:t>大队长、事发地乡（镇）政府、</w:t>
      </w:r>
      <w:r>
        <w:rPr>
          <w:rFonts w:eastAsia="仿宋"/>
          <w:sz w:val="28"/>
          <w:szCs w:val="28"/>
        </w:rPr>
        <w:t>事发单位负责人。</w:t>
      </w:r>
    </w:p>
    <w:p w14:paraId="77DF521C">
      <w:pPr>
        <w:spacing w:line="560" w:lineRule="exact"/>
        <w:ind w:firstLine="560" w:firstLineChars="200"/>
        <w:rPr>
          <w:rFonts w:eastAsia="仿宋"/>
          <w:sz w:val="28"/>
          <w:szCs w:val="28"/>
        </w:rPr>
      </w:pPr>
      <w:r>
        <w:rPr>
          <w:rFonts w:eastAsia="仿宋"/>
          <w:sz w:val="28"/>
          <w:szCs w:val="28"/>
        </w:rPr>
        <w:t>现场指挥部及其办公室、成员单位职责见附件2。</w:t>
      </w:r>
    </w:p>
    <w:p w14:paraId="75AF30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eastAsia="仿宋"/>
          <w:sz w:val="28"/>
          <w:szCs w:val="28"/>
        </w:rPr>
      </w:pPr>
      <w:r>
        <w:rPr>
          <w:rFonts w:eastAsia="仿宋"/>
          <w:sz w:val="28"/>
          <w:szCs w:val="28"/>
        </w:rPr>
        <w:t>现场指挥部下设应急综合保障组、现场处置组、技术组、案件侦破组、医疗救护组、新闻报道组6个组。根据事故情况，指挥长可视情况调整工作组、组成单位及职责，调集</w:t>
      </w:r>
      <w:r>
        <w:rPr>
          <w:rFonts w:hint="eastAsia" w:eastAsia="仿宋"/>
          <w:sz w:val="28"/>
          <w:szCs w:val="28"/>
        </w:rPr>
        <w:t>县</w:t>
      </w:r>
      <w:r>
        <w:rPr>
          <w:rFonts w:eastAsia="仿宋"/>
          <w:sz w:val="28"/>
          <w:szCs w:val="28"/>
        </w:rPr>
        <w:t>直其他有关部门和单位参加辐射事故处置工作。</w:t>
      </w:r>
    </w:p>
    <w:p w14:paraId="45F5CC40">
      <w:pPr>
        <w:spacing w:line="560" w:lineRule="exact"/>
        <w:ind w:firstLine="562"/>
        <w:outlineLvl w:val="2"/>
        <w:rPr>
          <w:rFonts w:eastAsia="黑体"/>
          <w:b/>
          <w:sz w:val="28"/>
          <w:szCs w:val="28"/>
        </w:rPr>
      </w:pPr>
      <w:r>
        <w:rPr>
          <w:rFonts w:eastAsia="黑体"/>
          <w:b/>
          <w:sz w:val="28"/>
          <w:szCs w:val="28"/>
        </w:rPr>
        <w:t>2.2.1应急综合保障组</w:t>
      </w:r>
    </w:p>
    <w:p w14:paraId="6CD325AD">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分局副局长</w:t>
      </w:r>
    </w:p>
    <w:p w14:paraId="43C14B7A">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r>
        <w:rPr>
          <w:rFonts w:hint="eastAsia" w:eastAsia="仿宋"/>
          <w:sz w:val="28"/>
          <w:szCs w:val="28"/>
        </w:rPr>
        <w:t>县</w:t>
      </w:r>
      <w:r>
        <w:rPr>
          <w:rFonts w:eastAsia="仿宋"/>
          <w:sz w:val="28"/>
          <w:szCs w:val="28"/>
        </w:rPr>
        <w:t>应急管理局、</w:t>
      </w:r>
      <w:r>
        <w:rPr>
          <w:rFonts w:hint="eastAsia" w:eastAsia="仿宋"/>
          <w:sz w:val="28"/>
          <w:szCs w:val="28"/>
        </w:rPr>
        <w:t>县</w:t>
      </w:r>
      <w:r>
        <w:rPr>
          <w:rFonts w:eastAsia="仿宋"/>
          <w:sz w:val="28"/>
          <w:szCs w:val="28"/>
        </w:rPr>
        <w:t>发展和改革局、</w:t>
      </w:r>
      <w:r>
        <w:rPr>
          <w:rFonts w:hint="eastAsia" w:eastAsia="仿宋"/>
          <w:sz w:val="28"/>
          <w:szCs w:val="28"/>
        </w:rPr>
        <w:t>县</w:t>
      </w:r>
      <w:r>
        <w:rPr>
          <w:rFonts w:eastAsia="仿宋"/>
          <w:sz w:val="28"/>
          <w:szCs w:val="28"/>
        </w:rPr>
        <w:t>工业和</w:t>
      </w:r>
      <w:r>
        <w:rPr>
          <w:rFonts w:hint="eastAsia" w:eastAsia="仿宋"/>
          <w:sz w:val="28"/>
          <w:szCs w:val="28"/>
          <w:lang w:val="en-US" w:eastAsia="zh-CN"/>
        </w:rPr>
        <w:t>科技</w:t>
      </w:r>
      <w:r>
        <w:rPr>
          <w:rFonts w:eastAsia="仿宋"/>
          <w:sz w:val="28"/>
          <w:szCs w:val="28"/>
        </w:rPr>
        <w:t>局、</w:t>
      </w:r>
      <w:r>
        <w:rPr>
          <w:rFonts w:hint="eastAsia" w:eastAsia="仿宋"/>
          <w:sz w:val="28"/>
          <w:szCs w:val="28"/>
        </w:rPr>
        <w:t>县</w:t>
      </w:r>
      <w:r>
        <w:rPr>
          <w:rFonts w:eastAsia="仿宋"/>
          <w:sz w:val="28"/>
          <w:szCs w:val="28"/>
        </w:rPr>
        <w:t>财政局。</w:t>
      </w:r>
    </w:p>
    <w:p w14:paraId="1314E022">
      <w:pPr>
        <w:spacing w:line="560" w:lineRule="exact"/>
        <w:ind w:firstLine="560" w:firstLineChars="200"/>
        <w:rPr>
          <w:rFonts w:eastAsia="仿宋"/>
          <w:sz w:val="28"/>
          <w:szCs w:val="28"/>
        </w:rPr>
      </w:pPr>
      <w:r>
        <w:rPr>
          <w:rFonts w:eastAsia="仿宋"/>
          <w:sz w:val="28"/>
          <w:szCs w:val="28"/>
        </w:rPr>
        <w:t>职责：负责辐射事故处置的物资、装备、经费、抢险救援等各类保障工作。</w:t>
      </w:r>
    </w:p>
    <w:p w14:paraId="75E0E30C">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.2现场处置组</w:t>
      </w:r>
    </w:p>
    <w:p w14:paraId="08D5EE1B">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分局副局长</w:t>
      </w:r>
    </w:p>
    <w:p w14:paraId="13DDC932">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r>
        <w:rPr>
          <w:rFonts w:hint="eastAsia" w:eastAsia="仿宋"/>
          <w:sz w:val="28"/>
          <w:szCs w:val="28"/>
        </w:rPr>
        <w:t>县</w:t>
      </w:r>
      <w:r>
        <w:rPr>
          <w:rFonts w:eastAsia="仿宋"/>
          <w:sz w:val="28"/>
          <w:szCs w:val="28"/>
        </w:rPr>
        <w:t>公安局、</w:t>
      </w:r>
      <w:r>
        <w:rPr>
          <w:rFonts w:hint="eastAsia" w:eastAsia="仿宋"/>
          <w:sz w:val="28"/>
          <w:szCs w:val="28"/>
        </w:rPr>
        <w:t>县</w:t>
      </w:r>
      <w:r>
        <w:rPr>
          <w:rFonts w:eastAsia="仿宋"/>
          <w:sz w:val="28"/>
          <w:szCs w:val="28"/>
        </w:rPr>
        <w:t>应急管理局、</w:t>
      </w:r>
      <w:r>
        <w:rPr>
          <w:rFonts w:hint="eastAsia" w:eastAsia="仿宋"/>
          <w:sz w:val="28"/>
          <w:szCs w:val="28"/>
          <w:lang w:val="zh-CN"/>
        </w:rPr>
        <w:t>武警</w:t>
      </w:r>
      <w:r>
        <w:rPr>
          <w:rFonts w:hint="eastAsia" w:eastAsia="仿宋"/>
          <w:sz w:val="28"/>
          <w:szCs w:val="28"/>
        </w:rPr>
        <w:t>文水</w:t>
      </w:r>
      <w:r>
        <w:rPr>
          <w:rFonts w:hint="eastAsia" w:eastAsia="仿宋"/>
          <w:sz w:val="28"/>
          <w:szCs w:val="28"/>
          <w:lang w:val="zh-CN"/>
        </w:rPr>
        <w:t>中队</w:t>
      </w:r>
      <w:r>
        <w:rPr>
          <w:rFonts w:eastAsia="仿宋"/>
          <w:sz w:val="28"/>
          <w:szCs w:val="28"/>
        </w:rPr>
        <w:t>、</w:t>
      </w:r>
      <w:r>
        <w:rPr>
          <w:rFonts w:hint="eastAsia" w:eastAsia="仿宋"/>
          <w:sz w:val="28"/>
          <w:szCs w:val="28"/>
        </w:rPr>
        <w:t>事发地乡（镇）政府</w:t>
      </w:r>
      <w:r>
        <w:rPr>
          <w:rFonts w:eastAsia="仿宋"/>
          <w:sz w:val="28"/>
          <w:szCs w:val="28"/>
        </w:rPr>
        <w:t>、事发单位。</w:t>
      </w:r>
    </w:p>
    <w:p w14:paraId="4DEAA6B7">
      <w:pPr>
        <w:spacing w:line="560" w:lineRule="exact"/>
        <w:ind w:firstLine="560" w:firstLineChars="200"/>
        <w:rPr>
          <w:rFonts w:eastAsia="仿宋"/>
          <w:sz w:val="28"/>
          <w:szCs w:val="28"/>
        </w:rPr>
      </w:pPr>
      <w:r>
        <w:rPr>
          <w:rFonts w:eastAsia="仿宋"/>
          <w:sz w:val="28"/>
          <w:szCs w:val="28"/>
        </w:rPr>
        <w:t>职责：负责抢险救援和应急处置，做好现场维护工作，根据情况临时确定警戒范围，疏散人员，展开初步现场调查，负责向</w:t>
      </w:r>
      <w:r>
        <w:rPr>
          <w:rFonts w:hint="eastAsia" w:eastAsia="仿宋"/>
          <w:sz w:val="28"/>
          <w:szCs w:val="28"/>
        </w:rPr>
        <w:t>县</w:t>
      </w:r>
      <w:r>
        <w:rPr>
          <w:rFonts w:eastAsia="仿宋"/>
          <w:sz w:val="28"/>
          <w:szCs w:val="28"/>
        </w:rPr>
        <w:t>指挥部汇报现场情况。</w:t>
      </w:r>
    </w:p>
    <w:p w14:paraId="43E5A97A">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.3技术组</w:t>
      </w:r>
    </w:p>
    <w:p w14:paraId="3C684EDF">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吕梁市生态环境局文水分局分管负责人。</w:t>
      </w:r>
    </w:p>
    <w:p w14:paraId="187B75CE">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吕梁市生态环境局文水分局</w:t>
      </w:r>
      <w:r>
        <w:rPr>
          <w:rFonts w:eastAsia="仿宋"/>
          <w:sz w:val="28"/>
          <w:szCs w:val="28"/>
        </w:rPr>
        <w:t>、</w:t>
      </w:r>
      <w:r>
        <w:rPr>
          <w:rFonts w:hint="eastAsia" w:eastAsia="仿宋"/>
          <w:sz w:val="28"/>
          <w:szCs w:val="28"/>
        </w:rPr>
        <w:t>县</w:t>
      </w:r>
      <w:r>
        <w:rPr>
          <w:rFonts w:eastAsia="仿宋"/>
          <w:sz w:val="28"/>
          <w:szCs w:val="28"/>
        </w:rPr>
        <w:t>指挥部聘请的</w:t>
      </w:r>
      <w:r>
        <w:rPr>
          <w:rFonts w:hint="eastAsia" w:eastAsia="仿宋"/>
          <w:sz w:val="28"/>
          <w:szCs w:val="28"/>
        </w:rPr>
        <w:t>省内外</w:t>
      </w:r>
      <w:r>
        <w:rPr>
          <w:rFonts w:eastAsia="仿宋"/>
          <w:sz w:val="28"/>
          <w:szCs w:val="28"/>
        </w:rPr>
        <w:t>相关专家、应急专家库相关专家。</w:t>
      </w:r>
    </w:p>
    <w:p w14:paraId="40D12CEC">
      <w:pPr>
        <w:spacing w:line="560" w:lineRule="exact"/>
        <w:ind w:firstLine="560" w:firstLineChars="200"/>
        <w:rPr>
          <w:rFonts w:eastAsia="仿宋"/>
          <w:sz w:val="28"/>
          <w:szCs w:val="28"/>
        </w:rPr>
      </w:pPr>
      <w:r>
        <w:rPr>
          <w:rFonts w:eastAsia="仿宋"/>
          <w:sz w:val="28"/>
          <w:szCs w:val="28"/>
        </w:rPr>
        <w:t>职责：负责协调请求</w:t>
      </w:r>
      <w:r>
        <w:rPr>
          <w:rFonts w:hint="eastAsia" w:eastAsia="仿宋"/>
          <w:sz w:val="28"/>
          <w:szCs w:val="28"/>
        </w:rPr>
        <w:t>吕梁</w:t>
      </w:r>
      <w:r>
        <w:rPr>
          <w:rFonts w:eastAsia="仿宋"/>
          <w:sz w:val="28"/>
          <w:szCs w:val="28"/>
        </w:rPr>
        <w:t>市</w:t>
      </w:r>
      <w:r>
        <w:rPr>
          <w:rFonts w:hint="eastAsia" w:eastAsia="仿宋"/>
          <w:sz w:val="28"/>
          <w:szCs w:val="28"/>
        </w:rPr>
        <w:t>生态环境局自然生态保护科（核与辐射安全监管科）</w:t>
      </w:r>
      <w:r>
        <w:rPr>
          <w:rFonts w:eastAsia="仿宋"/>
          <w:sz w:val="28"/>
          <w:szCs w:val="28"/>
        </w:rPr>
        <w:t>、山西省生态环境监测和应急保障中心、中国辐射防护研究院、中核第七研究设计院有限公司和省内外专家的技术支援，为</w:t>
      </w:r>
      <w:r>
        <w:rPr>
          <w:rFonts w:hint="eastAsia" w:eastAsia="仿宋"/>
          <w:sz w:val="28"/>
          <w:szCs w:val="28"/>
        </w:rPr>
        <w:t>县</w:t>
      </w:r>
      <w:r>
        <w:rPr>
          <w:rFonts w:eastAsia="仿宋"/>
          <w:sz w:val="28"/>
          <w:szCs w:val="28"/>
        </w:rPr>
        <w:t>指挥部决策提供技术支持，对辐射事故进行分析与评估，对事故现场及周边环境进行辐射监测并对辐射剂量进行估算，为</w:t>
      </w:r>
      <w:r>
        <w:rPr>
          <w:rFonts w:hint="eastAsia" w:eastAsia="仿宋"/>
          <w:sz w:val="28"/>
          <w:szCs w:val="28"/>
        </w:rPr>
        <w:t>县</w:t>
      </w:r>
      <w:r>
        <w:rPr>
          <w:rFonts w:eastAsia="仿宋"/>
          <w:sz w:val="28"/>
          <w:szCs w:val="28"/>
        </w:rPr>
        <w:t>指挥部办公室制定应急响应措施提出建议，参加</w:t>
      </w:r>
      <w:r>
        <w:rPr>
          <w:rFonts w:hint="eastAsia" w:eastAsia="仿宋"/>
          <w:sz w:val="28"/>
          <w:szCs w:val="28"/>
        </w:rPr>
        <w:t>县</w:t>
      </w:r>
      <w:r>
        <w:rPr>
          <w:rFonts w:eastAsia="仿宋"/>
          <w:sz w:val="28"/>
          <w:szCs w:val="28"/>
        </w:rPr>
        <w:t>指挥部及其办公室组织的应急响应行动。</w:t>
      </w:r>
    </w:p>
    <w:p w14:paraId="40706A36">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.4案件侦破组</w:t>
      </w:r>
    </w:p>
    <w:p w14:paraId="13AA4ABF">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县</w:t>
      </w:r>
      <w:r>
        <w:rPr>
          <w:rFonts w:eastAsia="仿宋"/>
          <w:sz w:val="28"/>
          <w:szCs w:val="28"/>
        </w:rPr>
        <w:t>公安局分管负责人。</w:t>
      </w:r>
    </w:p>
    <w:p w14:paraId="41153E70">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县</w:t>
      </w:r>
      <w:r>
        <w:rPr>
          <w:rFonts w:eastAsia="仿宋"/>
          <w:sz w:val="28"/>
          <w:szCs w:val="28"/>
        </w:rPr>
        <w:t>公安局、</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p>
    <w:p w14:paraId="081A2D3E">
      <w:pPr>
        <w:spacing w:line="560" w:lineRule="exact"/>
        <w:ind w:firstLine="560" w:firstLineChars="200"/>
        <w:rPr>
          <w:rFonts w:eastAsia="仿宋"/>
          <w:sz w:val="28"/>
          <w:szCs w:val="28"/>
        </w:rPr>
      </w:pPr>
      <w:r>
        <w:rPr>
          <w:rFonts w:eastAsia="仿宋"/>
          <w:sz w:val="28"/>
          <w:szCs w:val="28"/>
        </w:rPr>
        <w:t>职责：发生放射源丢失、被盗情况时，负责侦破追缴丢失、被盗放射源。</w:t>
      </w:r>
    </w:p>
    <w:p w14:paraId="1D239F92">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.5医疗救护组</w:t>
      </w:r>
    </w:p>
    <w:p w14:paraId="5C146788">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县卫生健康局</w:t>
      </w:r>
      <w:r>
        <w:rPr>
          <w:rFonts w:eastAsia="仿宋"/>
          <w:sz w:val="28"/>
          <w:szCs w:val="28"/>
        </w:rPr>
        <w:t>副</w:t>
      </w:r>
      <w:r>
        <w:rPr>
          <w:rFonts w:hint="eastAsia" w:eastAsia="仿宋"/>
          <w:sz w:val="28"/>
          <w:szCs w:val="28"/>
        </w:rPr>
        <w:t>局长</w:t>
      </w:r>
      <w:r>
        <w:rPr>
          <w:rFonts w:eastAsia="仿宋"/>
          <w:sz w:val="28"/>
          <w:szCs w:val="28"/>
        </w:rPr>
        <w:t>。</w:t>
      </w:r>
    </w:p>
    <w:p w14:paraId="41AB7716">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县</w:t>
      </w:r>
      <w:r>
        <w:rPr>
          <w:rFonts w:eastAsia="仿宋"/>
          <w:sz w:val="28"/>
          <w:szCs w:val="28"/>
        </w:rPr>
        <w:t>卫生健康局、</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p>
    <w:p w14:paraId="0CBECC54">
      <w:pPr>
        <w:spacing w:line="560" w:lineRule="exact"/>
        <w:ind w:firstLine="560" w:firstLineChars="200"/>
        <w:rPr>
          <w:rFonts w:eastAsia="仿宋"/>
          <w:sz w:val="28"/>
          <w:szCs w:val="28"/>
        </w:rPr>
      </w:pPr>
      <w:r>
        <w:rPr>
          <w:rFonts w:eastAsia="仿宋"/>
          <w:sz w:val="28"/>
          <w:szCs w:val="28"/>
        </w:rPr>
        <w:t>职责：负责向</w:t>
      </w:r>
      <w:r>
        <w:rPr>
          <w:rFonts w:hint="eastAsia" w:eastAsia="仿宋"/>
          <w:sz w:val="28"/>
          <w:szCs w:val="28"/>
        </w:rPr>
        <w:t>吕梁</w:t>
      </w:r>
      <w:r>
        <w:rPr>
          <w:rFonts w:eastAsia="仿宋"/>
          <w:sz w:val="28"/>
          <w:szCs w:val="28"/>
        </w:rPr>
        <w:t>市卫健委提出支援申请，由具备辐射事故救护的医务队对辐射事故受照人员进行救护。</w:t>
      </w:r>
    </w:p>
    <w:p w14:paraId="0924009E">
      <w:pPr>
        <w:spacing w:line="560" w:lineRule="exact"/>
        <w:ind w:firstLine="562"/>
        <w:outlineLvl w:val="2"/>
        <w:rPr>
          <w:rFonts w:eastAsia="黑体"/>
          <w:b/>
          <w:sz w:val="28"/>
          <w:szCs w:val="28"/>
        </w:rPr>
      </w:pPr>
      <w:r>
        <w:rPr>
          <w:rFonts w:eastAsia="黑体"/>
          <w:b/>
          <w:sz w:val="28"/>
          <w:szCs w:val="28"/>
        </w:rPr>
        <w:t>2.</w:t>
      </w:r>
      <w:r>
        <w:rPr>
          <w:rFonts w:hint="eastAsia" w:eastAsia="黑体"/>
          <w:b/>
          <w:sz w:val="28"/>
          <w:szCs w:val="28"/>
        </w:rPr>
        <w:t>2</w:t>
      </w:r>
      <w:r>
        <w:rPr>
          <w:rFonts w:eastAsia="黑体"/>
          <w:b/>
          <w:sz w:val="28"/>
          <w:szCs w:val="28"/>
        </w:rPr>
        <w:t>.6新闻报道组</w:t>
      </w:r>
    </w:p>
    <w:p w14:paraId="34738C8A">
      <w:pPr>
        <w:spacing w:line="560" w:lineRule="exact"/>
        <w:ind w:firstLine="560" w:firstLineChars="200"/>
        <w:rPr>
          <w:rFonts w:eastAsia="仿宋"/>
          <w:sz w:val="28"/>
          <w:szCs w:val="28"/>
        </w:rPr>
      </w:pPr>
      <w:r>
        <w:rPr>
          <w:rFonts w:eastAsia="仿宋"/>
          <w:sz w:val="28"/>
          <w:szCs w:val="28"/>
        </w:rPr>
        <w:t>组长：</w:t>
      </w:r>
      <w:r>
        <w:rPr>
          <w:rFonts w:hint="eastAsia" w:eastAsia="仿宋"/>
          <w:sz w:val="28"/>
          <w:szCs w:val="28"/>
        </w:rPr>
        <w:t>县</w:t>
      </w:r>
      <w:r>
        <w:rPr>
          <w:rFonts w:eastAsia="仿宋"/>
          <w:sz w:val="28"/>
          <w:szCs w:val="28"/>
        </w:rPr>
        <w:t>委宣传部副部长。</w:t>
      </w:r>
    </w:p>
    <w:p w14:paraId="492443B3">
      <w:pPr>
        <w:spacing w:line="560" w:lineRule="exact"/>
        <w:ind w:firstLine="560" w:firstLineChars="200"/>
        <w:rPr>
          <w:rFonts w:eastAsia="仿宋"/>
          <w:sz w:val="28"/>
          <w:szCs w:val="28"/>
        </w:rPr>
      </w:pPr>
      <w:r>
        <w:rPr>
          <w:rFonts w:eastAsia="仿宋"/>
          <w:sz w:val="28"/>
          <w:szCs w:val="28"/>
        </w:rPr>
        <w:t>成员单位：</w:t>
      </w:r>
      <w:r>
        <w:rPr>
          <w:rFonts w:hint="eastAsia" w:eastAsia="仿宋"/>
          <w:sz w:val="28"/>
          <w:szCs w:val="28"/>
        </w:rPr>
        <w:t>县</w:t>
      </w:r>
      <w:r>
        <w:rPr>
          <w:rFonts w:eastAsia="仿宋"/>
          <w:sz w:val="28"/>
          <w:szCs w:val="28"/>
        </w:rPr>
        <w:t>委宣传部、</w:t>
      </w:r>
      <w:r>
        <w:rPr>
          <w:rFonts w:hint="eastAsia" w:eastAsia="仿宋"/>
          <w:sz w:val="28"/>
          <w:szCs w:val="28"/>
        </w:rPr>
        <w:t>吕梁</w:t>
      </w:r>
      <w:r>
        <w:rPr>
          <w:rFonts w:eastAsia="仿宋"/>
          <w:sz w:val="28"/>
          <w:szCs w:val="28"/>
          <w:lang w:val="zh-CN"/>
        </w:rPr>
        <w:t>市生态环境局</w:t>
      </w:r>
      <w:r>
        <w:rPr>
          <w:rFonts w:hint="eastAsia" w:eastAsia="仿宋"/>
          <w:sz w:val="28"/>
          <w:szCs w:val="28"/>
        </w:rPr>
        <w:t>文水</w:t>
      </w:r>
      <w:r>
        <w:rPr>
          <w:rFonts w:eastAsia="仿宋"/>
          <w:sz w:val="28"/>
          <w:szCs w:val="28"/>
        </w:rPr>
        <w:t>分局、</w:t>
      </w:r>
      <w:r>
        <w:rPr>
          <w:rFonts w:hint="eastAsia" w:eastAsia="仿宋"/>
          <w:sz w:val="28"/>
          <w:szCs w:val="28"/>
        </w:rPr>
        <w:t>县</w:t>
      </w:r>
      <w:r>
        <w:rPr>
          <w:rFonts w:eastAsia="仿宋"/>
          <w:sz w:val="28"/>
          <w:szCs w:val="28"/>
        </w:rPr>
        <w:t>融媒体中心。</w:t>
      </w:r>
    </w:p>
    <w:p w14:paraId="27602113">
      <w:pPr>
        <w:spacing w:line="560" w:lineRule="exact"/>
        <w:ind w:firstLine="560" w:firstLineChars="200"/>
        <w:rPr>
          <w:rFonts w:eastAsia="仿宋"/>
          <w:sz w:val="28"/>
          <w:szCs w:val="28"/>
        </w:rPr>
      </w:pPr>
      <w:r>
        <w:rPr>
          <w:rFonts w:eastAsia="仿宋"/>
          <w:sz w:val="28"/>
          <w:szCs w:val="28"/>
        </w:rPr>
        <w:t>职责：按照</w:t>
      </w:r>
      <w:r>
        <w:rPr>
          <w:rFonts w:hint="eastAsia" w:eastAsia="仿宋"/>
          <w:sz w:val="28"/>
          <w:szCs w:val="28"/>
        </w:rPr>
        <w:t>县</w:t>
      </w:r>
      <w:r>
        <w:rPr>
          <w:rFonts w:eastAsia="仿宋"/>
          <w:sz w:val="28"/>
          <w:szCs w:val="28"/>
        </w:rPr>
        <w:t>指挥部提供的权威信息和授权，组织协调新闻媒体开展辐射事故应急处置的新闻报道，积极引导舆论。</w:t>
      </w:r>
    </w:p>
    <w:p w14:paraId="4BDE8A46">
      <w:pPr>
        <w:spacing w:line="560" w:lineRule="exact"/>
        <w:ind w:firstLine="640"/>
        <w:outlineLvl w:val="0"/>
        <w:rPr>
          <w:rFonts w:eastAsia="黑体"/>
          <w:sz w:val="32"/>
          <w:szCs w:val="32"/>
        </w:rPr>
      </w:pPr>
      <w:bookmarkStart w:id="23" w:name="_Toc31067"/>
      <w:bookmarkStart w:id="24" w:name="_Toc25659"/>
      <w:r>
        <w:rPr>
          <w:rFonts w:eastAsia="黑体"/>
          <w:sz w:val="32"/>
          <w:szCs w:val="32"/>
        </w:rPr>
        <w:t>3 预警机制</w:t>
      </w:r>
      <w:bookmarkEnd w:id="23"/>
      <w:bookmarkEnd w:id="24"/>
    </w:p>
    <w:p w14:paraId="790E4DB6">
      <w:pPr>
        <w:spacing w:line="600" w:lineRule="exact"/>
        <w:ind w:firstLine="600"/>
        <w:outlineLvl w:val="1"/>
        <w:rPr>
          <w:rFonts w:eastAsia="黑体"/>
          <w:sz w:val="30"/>
          <w:szCs w:val="30"/>
        </w:rPr>
      </w:pPr>
      <w:bookmarkStart w:id="25" w:name="_Toc14210"/>
      <w:bookmarkStart w:id="26" w:name="_Toc22723"/>
      <w:r>
        <w:rPr>
          <w:rFonts w:eastAsia="黑体"/>
          <w:sz w:val="30"/>
          <w:szCs w:val="30"/>
        </w:rPr>
        <w:t>3.1 预警级别与发布</w:t>
      </w:r>
      <w:bookmarkEnd w:id="25"/>
      <w:bookmarkEnd w:id="26"/>
    </w:p>
    <w:p w14:paraId="1D1876BE">
      <w:pPr>
        <w:spacing w:line="560" w:lineRule="exact"/>
        <w:ind w:firstLine="562"/>
        <w:outlineLvl w:val="2"/>
        <w:rPr>
          <w:rFonts w:eastAsia="黑体"/>
          <w:b/>
          <w:sz w:val="28"/>
          <w:szCs w:val="28"/>
        </w:rPr>
      </w:pPr>
      <w:r>
        <w:rPr>
          <w:rFonts w:hint="eastAsia" w:eastAsia="黑体"/>
          <w:b/>
          <w:sz w:val="28"/>
          <w:szCs w:val="28"/>
        </w:rPr>
        <w:t>3.1.1预警级别</w:t>
      </w:r>
    </w:p>
    <w:p w14:paraId="30145FB7">
      <w:pPr>
        <w:spacing w:line="560" w:lineRule="exact"/>
        <w:ind w:firstLine="560" w:firstLineChars="200"/>
        <w:rPr>
          <w:rFonts w:eastAsia="仿宋"/>
          <w:sz w:val="28"/>
          <w:szCs w:val="28"/>
        </w:rPr>
      </w:pPr>
      <w:r>
        <w:rPr>
          <w:rFonts w:eastAsia="仿宋"/>
          <w:sz w:val="28"/>
          <w:szCs w:val="28"/>
        </w:rPr>
        <w:t>预警级别根据辐射事故可能造成的危害、紧急程度和影响范围，将预警由高到低分为一级、二级、三级、四级，依次用红色、橙色、黄色和蓝色表示。</w:t>
      </w:r>
    </w:p>
    <w:p w14:paraId="0A48BC4D">
      <w:pPr>
        <w:spacing w:line="560" w:lineRule="exact"/>
        <w:ind w:firstLine="560" w:firstLineChars="200"/>
        <w:rPr>
          <w:rFonts w:eastAsia="仿宋"/>
          <w:sz w:val="28"/>
          <w:szCs w:val="28"/>
        </w:rPr>
      </w:pPr>
      <w:r>
        <w:rPr>
          <w:rFonts w:eastAsia="仿宋"/>
          <w:sz w:val="28"/>
          <w:szCs w:val="28"/>
        </w:rPr>
        <w:t>一级预警（红色）：可能发生或引发特别重大辐射事故。</w:t>
      </w:r>
    </w:p>
    <w:p w14:paraId="1EB93B90">
      <w:pPr>
        <w:spacing w:line="560" w:lineRule="exact"/>
        <w:ind w:firstLine="560" w:firstLineChars="200"/>
        <w:rPr>
          <w:rFonts w:eastAsia="仿宋"/>
          <w:sz w:val="28"/>
          <w:szCs w:val="28"/>
        </w:rPr>
      </w:pPr>
      <w:r>
        <w:rPr>
          <w:rFonts w:eastAsia="仿宋"/>
          <w:sz w:val="28"/>
          <w:szCs w:val="28"/>
        </w:rPr>
        <w:t>二级预警（橙色）：可能发生或引发重大辐射事故。</w:t>
      </w:r>
    </w:p>
    <w:p w14:paraId="115DC516">
      <w:pPr>
        <w:spacing w:line="560" w:lineRule="exact"/>
        <w:ind w:firstLine="560" w:firstLineChars="200"/>
        <w:rPr>
          <w:rFonts w:eastAsia="仿宋"/>
          <w:sz w:val="28"/>
          <w:szCs w:val="28"/>
        </w:rPr>
      </w:pPr>
      <w:r>
        <w:rPr>
          <w:rFonts w:eastAsia="仿宋"/>
          <w:sz w:val="28"/>
          <w:szCs w:val="28"/>
        </w:rPr>
        <w:t>三级预警（黄色）：可能发生或引发较大辐射事故。</w:t>
      </w:r>
    </w:p>
    <w:p w14:paraId="7240C647">
      <w:pPr>
        <w:spacing w:line="560" w:lineRule="exact"/>
        <w:ind w:firstLine="560" w:firstLineChars="200"/>
        <w:rPr>
          <w:rFonts w:eastAsia="仿宋"/>
          <w:sz w:val="28"/>
          <w:szCs w:val="28"/>
        </w:rPr>
      </w:pPr>
      <w:r>
        <w:rPr>
          <w:rFonts w:eastAsia="仿宋"/>
          <w:sz w:val="28"/>
          <w:szCs w:val="28"/>
        </w:rPr>
        <w:t>四级预警（蓝色）：可能发生或引发一般辐射事故。</w:t>
      </w:r>
    </w:p>
    <w:p w14:paraId="1C0BA872">
      <w:pPr>
        <w:spacing w:line="560" w:lineRule="exact"/>
        <w:ind w:firstLine="562"/>
        <w:outlineLvl w:val="2"/>
        <w:rPr>
          <w:rFonts w:eastAsia="黑体"/>
          <w:b/>
          <w:sz w:val="28"/>
          <w:szCs w:val="28"/>
        </w:rPr>
      </w:pPr>
      <w:r>
        <w:rPr>
          <w:rFonts w:eastAsia="黑体"/>
          <w:b/>
          <w:sz w:val="28"/>
          <w:szCs w:val="28"/>
        </w:rPr>
        <w:t>3.1.2 预警信息发布</w:t>
      </w:r>
    </w:p>
    <w:p w14:paraId="32B2F7E3">
      <w:pPr>
        <w:spacing w:line="560" w:lineRule="exact"/>
        <w:ind w:firstLine="560" w:firstLineChars="200"/>
        <w:rPr>
          <w:rFonts w:eastAsia="仿宋"/>
          <w:sz w:val="28"/>
          <w:szCs w:val="28"/>
        </w:rPr>
      </w:pPr>
      <w:r>
        <w:rPr>
          <w:rFonts w:eastAsia="仿宋"/>
          <w:sz w:val="28"/>
          <w:szCs w:val="28"/>
        </w:rPr>
        <w:t>一级预警信息经省政府授权由省指挥部负责发布，同时向国务院及生态环境部（国家核安全局）报告；二级预警信息经省政府授权由省指挥部负责发布，同时向生态环境部（国家核安全局）报告；三级预警信息由</w:t>
      </w:r>
      <w:r>
        <w:rPr>
          <w:rFonts w:hint="eastAsia" w:eastAsia="仿宋"/>
          <w:sz w:val="28"/>
          <w:szCs w:val="28"/>
        </w:rPr>
        <w:t>吕梁</w:t>
      </w:r>
      <w:r>
        <w:rPr>
          <w:rFonts w:eastAsia="仿宋"/>
          <w:sz w:val="28"/>
          <w:szCs w:val="28"/>
        </w:rPr>
        <w:t>市政府负责发布；四级预警信息由</w:t>
      </w:r>
      <w:r>
        <w:rPr>
          <w:rFonts w:hint="eastAsia" w:eastAsia="仿宋"/>
          <w:sz w:val="28"/>
          <w:szCs w:val="28"/>
        </w:rPr>
        <w:t>县</w:t>
      </w:r>
      <w:r>
        <w:rPr>
          <w:rFonts w:eastAsia="仿宋"/>
          <w:sz w:val="28"/>
          <w:szCs w:val="28"/>
        </w:rPr>
        <w:t>政府负责发布。</w:t>
      </w:r>
    </w:p>
    <w:p w14:paraId="7AD7E15A">
      <w:pPr>
        <w:spacing w:line="600" w:lineRule="exact"/>
        <w:ind w:firstLine="600"/>
        <w:outlineLvl w:val="1"/>
        <w:rPr>
          <w:rFonts w:eastAsia="黑体"/>
          <w:sz w:val="30"/>
          <w:szCs w:val="30"/>
        </w:rPr>
      </w:pPr>
      <w:bookmarkStart w:id="27" w:name="_Toc1565"/>
      <w:bookmarkStart w:id="28" w:name="_Toc23638"/>
      <w:bookmarkStart w:id="29" w:name="_Toc17036"/>
      <w:r>
        <w:rPr>
          <w:rFonts w:eastAsia="黑体"/>
          <w:sz w:val="30"/>
          <w:szCs w:val="30"/>
        </w:rPr>
        <w:t>3.2 预警行动</w:t>
      </w:r>
      <w:bookmarkEnd w:id="27"/>
      <w:bookmarkEnd w:id="28"/>
      <w:bookmarkEnd w:id="29"/>
    </w:p>
    <w:p w14:paraId="2F405EF5">
      <w:pPr>
        <w:spacing w:line="560" w:lineRule="exact"/>
        <w:ind w:firstLine="560" w:firstLineChars="200"/>
        <w:rPr>
          <w:rFonts w:eastAsia="仿宋"/>
          <w:sz w:val="28"/>
          <w:szCs w:val="28"/>
        </w:rPr>
      </w:pPr>
      <w:r>
        <w:rPr>
          <w:rFonts w:eastAsia="仿宋"/>
          <w:sz w:val="28"/>
          <w:szCs w:val="28"/>
        </w:rPr>
        <w:t>进入预警状态后，</w:t>
      </w:r>
      <w:r>
        <w:rPr>
          <w:rFonts w:hint="eastAsia" w:eastAsia="仿宋"/>
          <w:sz w:val="28"/>
          <w:szCs w:val="28"/>
        </w:rPr>
        <w:t>县</w:t>
      </w:r>
      <w:r>
        <w:rPr>
          <w:rFonts w:eastAsia="仿宋"/>
          <w:sz w:val="28"/>
          <w:szCs w:val="28"/>
        </w:rPr>
        <w:t>指挥</w:t>
      </w:r>
      <w:r>
        <w:rPr>
          <w:rFonts w:hint="eastAsia" w:eastAsia="仿宋"/>
          <w:sz w:val="28"/>
          <w:szCs w:val="28"/>
        </w:rPr>
        <w:t>部</w:t>
      </w:r>
      <w:r>
        <w:rPr>
          <w:rFonts w:eastAsia="仿宋"/>
          <w:sz w:val="28"/>
          <w:szCs w:val="28"/>
        </w:rPr>
        <w:t>与有关部门视情况采取以下措施：</w:t>
      </w:r>
    </w:p>
    <w:p w14:paraId="71968402">
      <w:pPr>
        <w:spacing w:line="560" w:lineRule="exact"/>
        <w:ind w:firstLine="560" w:firstLineChars="200"/>
        <w:rPr>
          <w:rFonts w:eastAsia="仿宋"/>
          <w:sz w:val="28"/>
          <w:szCs w:val="28"/>
        </w:rPr>
      </w:pPr>
      <w:r>
        <w:rPr>
          <w:rFonts w:eastAsia="仿宋"/>
          <w:sz w:val="28"/>
          <w:szCs w:val="28"/>
        </w:rPr>
        <w:t>（1）赶赴现场，协调各级、各专业力量实施应急支援行动，提出现场应急行动原则要求。</w:t>
      </w:r>
    </w:p>
    <w:p w14:paraId="170F9356">
      <w:pPr>
        <w:spacing w:line="560" w:lineRule="exact"/>
        <w:ind w:firstLine="560" w:firstLineChars="200"/>
        <w:rPr>
          <w:rFonts w:eastAsia="仿宋"/>
          <w:sz w:val="28"/>
          <w:szCs w:val="28"/>
        </w:rPr>
      </w:pPr>
      <w:r>
        <w:rPr>
          <w:rFonts w:eastAsia="仿宋"/>
          <w:sz w:val="28"/>
          <w:szCs w:val="28"/>
        </w:rPr>
        <w:t>（2）转移、撤离或者疏散可能受到危害的人员，并进行妥善安置。</w:t>
      </w:r>
    </w:p>
    <w:p w14:paraId="6B764D12">
      <w:pPr>
        <w:spacing w:line="560" w:lineRule="exact"/>
        <w:ind w:firstLine="560" w:firstLineChars="200"/>
        <w:rPr>
          <w:rFonts w:eastAsia="仿宋"/>
          <w:sz w:val="28"/>
          <w:szCs w:val="28"/>
        </w:rPr>
      </w:pPr>
      <w:r>
        <w:rPr>
          <w:rFonts w:eastAsia="仿宋"/>
          <w:sz w:val="28"/>
          <w:szCs w:val="28"/>
        </w:rPr>
        <w:t>（3）指令各应急救援队伍进入应急状态，技术组立即开展应急监测，随时掌握并报告事态进展情况。必要时，请求</w:t>
      </w:r>
      <w:r>
        <w:rPr>
          <w:rFonts w:hint="eastAsia" w:eastAsia="仿宋"/>
          <w:sz w:val="28"/>
          <w:szCs w:val="28"/>
        </w:rPr>
        <w:t>吕梁</w:t>
      </w:r>
      <w:r>
        <w:rPr>
          <w:rFonts w:eastAsia="仿宋"/>
          <w:sz w:val="28"/>
          <w:szCs w:val="28"/>
        </w:rPr>
        <w:t>市核与辐射安全管理站、山西省生态环境监测和应急保障中心等部门提供应急监测技术支援。</w:t>
      </w:r>
    </w:p>
    <w:p w14:paraId="67A007B7">
      <w:pPr>
        <w:spacing w:line="560" w:lineRule="exact"/>
        <w:ind w:firstLine="560" w:firstLineChars="200"/>
        <w:rPr>
          <w:rFonts w:eastAsia="仿宋"/>
          <w:sz w:val="28"/>
          <w:szCs w:val="28"/>
        </w:rPr>
      </w:pPr>
      <w:r>
        <w:rPr>
          <w:rFonts w:eastAsia="仿宋"/>
          <w:sz w:val="28"/>
          <w:szCs w:val="28"/>
        </w:rPr>
        <w:t>（4）针对辐射事故可能造成的危害，封闭、隔离或者限制使用有关场所，中止可能导致危害扩大的行为和活动。</w:t>
      </w:r>
    </w:p>
    <w:p w14:paraId="6BF8B700">
      <w:pPr>
        <w:pStyle w:val="7"/>
        <w:spacing w:before="0" w:beforeAutospacing="0" w:after="0" w:afterAutospacing="0" w:line="560" w:lineRule="exact"/>
        <w:ind w:firstLine="560" w:firstLineChars="200"/>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（5）调集环境应急所需物资和设备，保障应急处置工作。</w:t>
      </w:r>
    </w:p>
    <w:p w14:paraId="76078C7C">
      <w:pPr>
        <w:spacing w:line="600" w:lineRule="exact"/>
        <w:ind w:firstLine="600"/>
        <w:outlineLvl w:val="1"/>
        <w:rPr>
          <w:rFonts w:eastAsia="黑体"/>
          <w:sz w:val="30"/>
          <w:szCs w:val="30"/>
        </w:rPr>
      </w:pPr>
      <w:bookmarkStart w:id="30" w:name="_Toc15913"/>
      <w:bookmarkStart w:id="31" w:name="_Toc8830"/>
      <w:bookmarkStart w:id="32" w:name="_Toc31354"/>
      <w:r>
        <w:rPr>
          <w:rFonts w:eastAsia="黑体"/>
          <w:sz w:val="30"/>
          <w:szCs w:val="30"/>
        </w:rPr>
        <w:t>3.3 预警级别调整和解除</w:t>
      </w:r>
      <w:bookmarkEnd w:id="30"/>
      <w:bookmarkEnd w:id="31"/>
      <w:bookmarkEnd w:id="32"/>
    </w:p>
    <w:p w14:paraId="1C4DA3DF">
      <w:pPr>
        <w:spacing w:line="560" w:lineRule="exact"/>
        <w:ind w:firstLine="560" w:firstLineChars="200"/>
        <w:rPr>
          <w:rFonts w:eastAsia="仿宋"/>
          <w:sz w:val="28"/>
          <w:szCs w:val="28"/>
        </w:rPr>
      </w:pPr>
      <w:r>
        <w:rPr>
          <w:rFonts w:hint="eastAsia" w:eastAsia="仿宋"/>
          <w:sz w:val="28"/>
          <w:szCs w:val="28"/>
        </w:rPr>
        <w:t>发布辐射事故预警信息的政府或有关部门，</w:t>
      </w:r>
      <w:r>
        <w:rPr>
          <w:rFonts w:eastAsia="仿宋"/>
          <w:sz w:val="28"/>
          <w:szCs w:val="28"/>
        </w:rPr>
        <w:t>应当根据事态发展情况和采取措施的效果，适时调整预警级别。</w:t>
      </w:r>
    </w:p>
    <w:p w14:paraId="6F1831DA">
      <w:pPr>
        <w:spacing w:line="560" w:lineRule="exact"/>
        <w:ind w:firstLine="560" w:firstLineChars="200"/>
        <w:rPr>
          <w:rFonts w:eastAsia="仿宋"/>
          <w:sz w:val="28"/>
          <w:szCs w:val="28"/>
        </w:rPr>
      </w:pPr>
      <w:r>
        <w:rPr>
          <w:rFonts w:eastAsia="仿宋"/>
          <w:sz w:val="28"/>
          <w:szCs w:val="28"/>
        </w:rPr>
        <w:t>当判定辐射事故隐患已排除时，宣布预警解除。</w:t>
      </w:r>
    </w:p>
    <w:p w14:paraId="24B24629">
      <w:pPr>
        <w:spacing w:line="560" w:lineRule="exact"/>
        <w:ind w:firstLine="640"/>
        <w:outlineLvl w:val="0"/>
        <w:rPr>
          <w:rFonts w:eastAsia="黑体"/>
          <w:sz w:val="32"/>
          <w:szCs w:val="32"/>
        </w:rPr>
      </w:pPr>
      <w:bookmarkStart w:id="33" w:name="_Toc4200"/>
      <w:bookmarkStart w:id="34" w:name="_Toc7482"/>
      <w:r>
        <w:rPr>
          <w:rFonts w:eastAsia="黑体"/>
          <w:sz w:val="32"/>
          <w:szCs w:val="32"/>
        </w:rPr>
        <w:t>4 应急处置与救援</w:t>
      </w:r>
      <w:bookmarkEnd w:id="33"/>
      <w:bookmarkEnd w:id="34"/>
    </w:p>
    <w:p w14:paraId="40F4D43A">
      <w:pPr>
        <w:spacing w:line="600" w:lineRule="exact"/>
        <w:ind w:firstLine="600"/>
        <w:outlineLvl w:val="1"/>
        <w:rPr>
          <w:rFonts w:eastAsia="黑体"/>
          <w:sz w:val="30"/>
          <w:szCs w:val="30"/>
        </w:rPr>
      </w:pPr>
      <w:bookmarkStart w:id="35" w:name="_Toc267917326"/>
      <w:bookmarkStart w:id="36" w:name="_Toc10902"/>
      <w:bookmarkStart w:id="37" w:name="_Toc21467"/>
      <w:r>
        <w:rPr>
          <w:rFonts w:eastAsia="黑体"/>
          <w:sz w:val="30"/>
          <w:szCs w:val="30"/>
        </w:rPr>
        <w:t>4.1</w:t>
      </w:r>
      <w:bookmarkEnd w:id="35"/>
      <w:r>
        <w:rPr>
          <w:rFonts w:eastAsia="黑体"/>
          <w:sz w:val="30"/>
          <w:szCs w:val="30"/>
        </w:rPr>
        <w:t xml:space="preserve"> 信息报告与通报</w:t>
      </w:r>
      <w:bookmarkEnd w:id="36"/>
      <w:bookmarkEnd w:id="37"/>
    </w:p>
    <w:p w14:paraId="669DEAD4">
      <w:pPr>
        <w:spacing w:line="560" w:lineRule="exact"/>
        <w:ind w:firstLine="562"/>
        <w:outlineLvl w:val="2"/>
        <w:rPr>
          <w:rFonts w:eastAsia="黑体"/>
          <w:b/>
          <w:sz w:val="28"/>
          <w:szCs w:val="28"/>
        </w:rPr>
      </w:pPr>
      <w:bookmarkStart w:id="38" w:name="_Toc267917342"/>
      <w:r>
        <w:rPr>
          <w:rFonts w:eastAsia="黑体"/>
          <w:b/>
          <w:sz w:val="28"/>
          <w:szCs w:val="28"/>
        </w:rPr>
        <w:t xml:space="preserve">4.1.1 </w:t>
      </w:r>
      <w:r>
        <w:rPr>
          <w:rFonts w:hint="eastAsia" w:eastAsia="黑体"/>
          <w:b/>
          <w:sz w:val="28"/>
          <w:szCs w:val="28"/>
        </w:rPr>
        <w:t>信息报告程序</w:t>
      </w:r>
    </w:p>
    <w:p w14:paraId="0240573B">
      <w:pPr>
        <w:spacing w:line="560" w:lineRule="exact"/>
        <w:ind w:firstLine="560" w:firstLineChars="200"/>
        <w:rPr>
          <w:rFonts w:eastAsia="仿宋"/>
          <w:sz w:val="28"/>
          <w:szCs w:val="28"/>
        </w:rPr>
      </w:pPr>
      <w:r>
        <w:rPr>
          <w:rFonts w:eastAsia="仿宋"/>
          <w:sz w:val="28"/>
          <w:szCs w:val="28"/>
        </w:rPr>
        <w:t>（1）发现发生辐射事故时，事发单位在1小时内书面报告</w:t>
      </w:r>
      <w:r>
        <w:rPr>
          <w:rFonts w:hint="eastAsia" w:eastAsia="仿宋"/>
          <w:sz w:val="28"/>
          <w:szCs w:val="28"/>
        </w:rPr>
        <w:t>吕梁市生态环境局文水</w:t>
      </w:r>
      <w:r>
        <w:rPr>
          <w:rFonts w:eastAsia="仿宋"/>
          <w:sz w:val="28"/>
          <w:szCs w:val="28"/>
        </w:rPr>
        <w:t>分局和</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。紧急情况下可先通过电话口头报告，随即报送书面信息。造成或可能造成人员辐射损伤照射的，还应同时向</w:t>
      </w:r>
      <w:r>
        <w:rPr>
          <w:rFonts w:hint="eastAsia" w:eastAsia="仿宋"/>
          <w:sz w:val="28"/>
          <w:szCs w:val="28"/>
        </w:rPr>
        <w:t>县县卫生健康局</w:t>
      </w:r>
      <w:r>
        <w:rPr>
          <w:rFonts w:eastAsia="仿宋"/>
          <w:sz w:val="28"/>
          <w:szCs w:val="28"/>
        </w:rPr>
        <w:t>报告。</w:t>
      </w:r>
    </w:p>
    <w:p w14:paraId="4A59BB83">
      <w:pPr>
        <w:spacing w:line="560" w:lineRule="exact"/>
        <w:ind w:firstLine="560" w:firstLineChars="200"/>
        <w:rPr>
          <w:rFonts w:eastAsia="仿宋"/>
          <w:sz w:val="28"/>
          <w:szCs w:val="28"/>
        </w:rPr>
      </w:pPr>
      <w:r>
        <w:rPr>
          <w:rFonts w:eastAsia="仿宋"/>
          <w:sz w:val="28"/>
          <w:szCs w:val="28"/>
        </w:rPr>
        <w:t>（2）</w:t>
      </w:r>
      <w:r>
        <w:rPr>
          <w:rFonts w:hint="eastAsia" w:eastAsia="仿宋"/>
          <w:sz w:val="28"/>
          <w:szCs w:val="28"/>
        </w:rPr>
        <w:t>吕梁市生态环境局文水</w:t>
      </w:r>
      <w:r>
        <w:rPr>
          <w:rFonts w:eastAsia="仿宋"/>
          <w:sz w:val="28"/>
          <w:szCs w:val="28"/>
        </w:rPr>
        <w:t>分局</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w:t>
      </w:r>
      <w:r>
        <w:rPr>
          <w:rFonts w:hint="eastAsia" w:eastAsia="仿宋"/>
          <w:sz w:val="28"/>
          <w:szCs w:val="28"/>
        </w:rPr>
        <w:t>县</w:t>
      </w:r>
      <w:r>
        <w:rPr>
          <w:rFonts w:eastAsia="仿宋"/>
          <w:sz w:val="28"/>
          <w:szCs w:val="28"/>
        </w:rPr>
        <w:t>卫生健康局接到辐射事故报告后，应当立即进行核实，对辐射事故的性质和类别做出初步判定，并按以下要求进行报告。必要时，向</w:t>
      </w:r>
      <w:r>
        <w:rPr>
          <w:rFonts w:hint="eastAsia" w:eastAsia="仿宋"/>
          <w:sz w:val="28"/>
          <w:szCs w:val="28"/>
        </w:rPr>
        <w:t>武警文水中队</w:t>
      </w:r>
      <w:r>
        <w:rPr>
          <w:rFonts w:eastAsia="仿宋"/>
          <w:sz w:val="28"/>
          <w:szCs w:val="28"/>
        </w:rPr>
        <w:t>通报相关情况。</w:t>
      </w:r>
    </w:p>
    <w:p w14:paraId="267CADD4">
      <w:pPr>
        <w:spacing w:line="560" w:lineRule="exact"/>
        <w:ind w:firstLine="560" w:firstLineChars="200"/>
        <w:rPr>
          <w:rFonts w:eastAsia="仿宋"/>
          <w:sz w:val="28"/>
          <w:szCs w:val="28"/>
        </w:rPr>
      </w:pPr>
      <w:r>
        <w:rPr>
          <w:rFonts w:eastAsia="仿宋"/>
          <w:sz w:val="28"/>
          <w:szCs w:val="28"/>
        </w:rPr>
        <w:t>初步判定为一般辐射事故的，</w:t>
      </w:r>
      <w:r>
        <w:rPr>
          <w:rFonts w:hint="eastAsia" w:eastAsia="仿宋"/>
          <w:sz w:val="28"/>
          <w:szCs w:val="28"/>
        </w:rPr>
        <w:t>吕梁市生态环境局文水</w:t>
      </w:r>
      <w:r>
        <w:rPr>
          <w:rFonts w:eastAsia="仿宋"/>
          <w:sz w:val="28"/>
          <w:szCs w:val="28"/>
        </w:rPr>
        <w:t>分局</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w:t>
      </w:r>
      <w:r>
        <w:rPr>
          <w:rFonts w:hint="eastAsia" w:eastAsia="仿宋"/>
          <w:sz w:val="28"/>
          <w:szCs w:val="28"/>
        </w:rPr>
        <w:t>县</w:t>
      </w:r>
      <w:r>
        <w:rPr>
          <w:rFonts w:eastAsia="仿宋"/>
          <w:sz w:val="28"/>
          <w:szCs w:val="28"/>
        </w:rPr>
        <w:t>卫生健康局应当在2小时内向</w:t>
      </w:r>
      <w:r>
        <w:rPr>
          <w:rFonts w:hint="eastAsia" w:eastAsia="仿宋"/>
          <w:sz w:val="28"/>
          <w:szCs w:val="28"/>
        </w:rPr>
        <w:t>县</w:t>
      </w:r>
      <w:r>
        <w:rPr>
          <w:rFonts w:eastAsia="仿宋"/>
          <w:sz w:val="28"/>
          <w:szCs w:val="28"/>
        </w:rPr>
        <w:t>政府和</w:t>
      </w:r>
      <w:r>
        <w:rPr>
          <w:rFonts w:hint="eastAsia" w:eastAsia="仿宋"/>
          <w:sz w:val="28"/>
          <w:szCs w:val="28"/>
        </w:rPr>
        <w:t>吕梁市</w:t>
      </w:r>
      <w:r>
        <w:rPr>
          <w:rFonts w:eastAsia="仿宋"/>
          <w:sz w:val="28"/>
          <w:szCs w:val="28"/>
        </w:rPr>
        <w:t>生态环境局报告。</w:t>
      </w:r>
    </w:p>
    <w:p w14:paraId="07C40096">
      <w:pPr>
        <w:spacing w:line="560" w:lineRule="exact"/>
        <w:ind w:firstLine="560" w:firstLineChars="200"/>
        <w:rPr>
          <w:rFonts w:eastAsia="仿宋"/>
          <w:sz w:val="28"/>
          <w:szCs w:val="28"/>
        </w:rPr>
      </w:pPr>
      <w:r>
        <w:rPr>
          <w:rFonts w:eastAsia="仿宋"/>
          <w:sz w:val="28"/>
          <w:szCs w:val="28"/>
        </w:rPr>
        <w:t>初步判定为较大辐射事故的，</w:t>
      </w:r>
      <w:r>
        <w:rPr>
          <w:rFonts w:hint="eastAsia" w:eastAsia="仿宋"/>
          <w:sz w:val="28"/>
          <w:szCs w:val="28"/>
        </w:rPr>
        <w:t>吕梁市生态环境局文水</w:t>
      </w:r>
      <w:r>
        <w:rPr>
          <w:rFonts w:eastAsia="仿宋"/>
          <w:sz w:val="28"/>
          <w:szCs w:val="28"/>
        </w:rPr>
        <w:t>分局</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w:t>
      </w:r>
      <w:r>
        <w:rPr>
          <w:rFonts w:hint="eastAsia" w:eastAsia="仿宋"/>
          <w:sz w:val="28"/>
          <w:szCs w:val="28"/>
        </w:rPr>
        <w:t>县</w:t>
      </w:r>
      <w:r>
        <w:rPr>
          <w:rFonts w:eastAsia="仿宋"/>
          <w:sz w:val="28"/>
          <w:szCs w:val="28"/>
        </w:rPr>
        <w:t>卫生健康局应当在2小时内向</w:t>
      </w:r>
      <w:r>
        <w:rPr>
          <w:rFonts w:hint="eastAsia" w:eastAsia="仿宋"/>
          <w:sz w:val="28"/>
          <w:szCs w:val="28"/>
        </w:rPr>
        <w:t>县</w:t>
      </w:r>
      <w:r>
        <w:rPr>
          <w:rFonts w:eastAsia="仿宋"/>
          <w:sz w:val="28"/>
          <w:szCs w:val="28"/>
        </w:rPr>
        <w:t>政府和</w:t>
      </w:r>
      <w:r>
        <w:rPr>
          <w:rFonts w:hint="eastAsia" w:eastAsia="仿宋"/>
          <w:sz w:val="28"/>
          <w:szCs w:val="28"/>
        </w:rPr>
        <w:t>吕梁市</w:t>
      </w:r>
      <w:r>
        <w:rPr>
          <w:rFonts w:eastAsia="仿宋"/>
          <w:sz w:val="28"/>
          <w:szCs w:val="28"/>
        </w:rPr>
        <w:t>生态环境局报告。</w:t>
      </w:r>
    </w:p>
    <w:p w14:paraId="7C5C29EA">
      <w:pPr>
        <w:spacing w:line="560" w:lineRule="exact"/>
        <w:ind w:firstLine="560" w:firstLineChars="200"/>
        <w:rPr>
          <w:rFonts w:eastAsia="仿宋"/>
          <w:sz w:val="28"/>
          <w:szCs w:val="28"/>
        </w:rPr>
      </w:pPr>
      <w:r>
        <w:rPr>
          <w:rFonts w:eastAsia="仿宋"/>
          <w:sz w:val="28"/>
          <w:szCs w:val="28"/>
        </w:rPr>
        <w:t>初步判定为重大辐射事故、特别重大辐射事故的</w:t>
      </w:r>
      <w:r>
        <w:rPr>
          <w:rFonts w:hint="eastAsia" w:eastAsia="仿宋"/>
          <w:sz w:val="28"/>
          <w:szCs w:val="28"/>
        </w:rPr>
        <w:t>，吕梁市生态环境局文水</w:t>
      </w:r>
      <w:r>
        <w:rPr>
          <w:rFonts w:eastAsia="仿宋"/>
          <w:sz w:val="28"/>
          <w:szCs w:val="28"/>
        </w:rPr>
        <w:t>分局</w:t>
      </w:r>
      <w:r>
        <w:rPr>
          <w:rFonts w:hint="eastAsia" w:eastAsia="仿宋"/>
          <w:sz w:val="28"/>
          <w:szCs w:val="28"/>
        </w:rPr>
        <w:t>、县</w:t>
      </w:r>
      <w:r>
        <w:rPr>
          <w:rFonts w:eastAsia="仿宋"/>
          <w:sz w:val="28"/>
          <w:szCs w:val="28"/>
        </w:rPr>
        <w:t>公安</w:t>
      </w:r>
      <w:r>
        <w:rPr>
          <w:rFonts w:hint="eastAsia" w:eastAsia="仿宋"/>
          <w:sz w:val="28"/>
          <w:szCs w:val="28"/>
        </w:rPr>
        <w:t>局</w:t>
      </w:r>
      <w:r>
        <w:rPr>
          <w:rFonts w:eastAsia="仿宋"/>
          <w:sz w:val="28"/>
          <w:szCs w:val="28"/>
        </w:rPr>
        <w:t>、</w:t>
      </w:r>
      <w:r>
        <w:rPr>
          <w:rFonts w:hint="eastAsia" w:eastAsia="仿宋"/>
          <w:sz w:val="28"/>
          <w:szCs w:val="28"/>
        </w:rPr>
        <w:t>县</w:t>
      </w:r>
      <w:r>
        <w:rPr>
          <w:rFonts w:eastAsia="仿宋"/>
          <w:sz w:val="28"/>
          <w:szCs w:val="28"/>
        </w:rPr>
        <w:t>卫生健康局应当在1小时内向</w:t>
      </w:r>
      <w:r>
        <w:rPr>
          <w:rFonts w:hint="eastAsia" w:eastAsia="仿宋"/>
          <w:sz w:val="28"/>
          <w:szCs w:val="28"/>
        </w:rPr>
        <w:t>县政府</w:t>
      </w:r>
      <w:r>
        <w:rPr>
          <w:rFonts w:eastAsia="仿宋"/>
          <w:sz w:val="28"/>
          <w:szCs w:val="28"/>
        </w:rPr>
        <w:t>和</w:t>
      </w:r>
      <w:r>
        <w:rPr>
          <w:rFonts w:hint="eastAsia" w:eastAsia="仿宋"/>
          <w:sz w:val="28"/>
          <w:szCs w:val="28"/>
        </w:rPr>
        <w:t>省生态环境厅</w:t>
      </w:r>
      <w:r>
        <w:rPr>
          <w:rFonts w:eastAsia="仿宋"/>
          <w:sz w:val="28"/>
          <w:szCs w:val="28"/>
        </w:rPr>
        <w:t>报告。</w:t>
      </w:r>
    </w:p>
    <w:p w14:paraId="26AC0A5A">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3</w:t>
      </w:r>
      <w:r>
        <w:rPr>
          <w:rFonts w:eastAsia="仿宋"/>
          <w:sz w:val="28"/>
          <w:szCs w:val="28"/>
        </w:rPr>
        <w:t>）</w:t>
      </w:r>
      <w:r>
        <w:rPr>
          <w:rFonts w:hint="eastAsia" w:eastAsia="仿宋"/>
          <w:sz w:val="28"/>
          <w:szCs w:val="28"/>
        </w:rPr>
        <w:t>发生重大辐射事故、特别重大辐射事故后，县人民政府应当按照事故分级报告的规定在1小时内报告市人民政府，必要时可越级上报。紧急情况下，事发地县政府有关部门和单位可以先通过电话口头报告市政府，并在1小时内报送书面信息。</w:t>
      </w:r>
    </w:p>
    <w:p w14:paraId="78F43AA9">
      <w:pPr>
        <w:spacing w:line="560" w:lineRule="exact"/>
        <w:ind w:firstLine="562"/>
        <w:outlineLvl w:val="2"/>
        <w:rPr>
          <w:rFonts w:eastAsia="黑体"/>
          <w:b/>
          <w:sz w:val="28"/>
          <w:szCs w:val="28"/>
        </w:rPr>
      </w:pPr>
      <w:r>
        <w:rPr>
          <w:rFonts w:eastAsia="黑体"/>
          <w:b/>
          <w:sz w:val="28"/>
          <w:szCs w:val="28"/>
        </w:rPr>
        <w:t>4.1.2 报告方式与内容</w:t>
      </w:r>
    </w:p>
    <w:p w14:paraId="1A0CF52E">
      <w:pPr>
        <w:spacing w:line="560" w:lineRule="exact"/>
        <w:ind w:firstLine="560" w:firstLineChars="200"/>
        <w:rPr>
          <w:rFonts w:eastAsia="仿宋"/>
          <w:sz w:val="28"/>
          <w:szCs w:val="28"/>
        </w:rPr>
      </w:pPr>
      <w:r>
        <w:rPr>
          <w:rFonts w:eastAsia="仿宋"/>
          <w:sz w:val="28"/>
          <w:szCs w:val="28"/>
        </w:rPr>
        <w:t>辐射事故的报告分为初报、续报和终结报告三类。初报在发现事故后立即上报，续报在查清有关基本情况后随时上报，终结报告在事故处理完毕后即时上报。</w:t>
      </w:r>
    </w:p>
    <w:p w14:paraId="18C11229">
      <w:pPr>
        <w:spacing w:line="560" w:lineRule="exact"/>
        <w:ind w:firstLine="560" w:firstLineChars="200"/>
        <w:rPr>
          <w:rFonts w:eastAsia="仿宋"/>
          <w:sz w:val="28"/>
          <w:szCs w:val="28"/>
        </w:rPr>
      </w:pPr>
      <w:r>
        <w:rPr>
          <w:rFonts w:eastAsia="仿宋"/>
          <w:sz w:val="28"/>
          <w:szCs w:val="28"/>
        </w:rPr>
        <w:t>（1）初报可用电话直接报告，主要内容为发生辐射事故的原因、发生时间、地点、人员受害情况、事故潜在的危害程度等初步情况，电话报告后应尽快报送《辐射事故初始报告表》（见附件4）。</w:t>
      </w:r>
    </w:p>
    <w:p w14:paraId="3EDFB751">
      <w:pPr>
        <w:spacing w:line="560" w:lineRule="exact"/>
        <w:ind w:firstLine="560" w:firstLineChars="200"/>
        <w:rPr>
          <w:rFonts w:eastAsia="仿宋"/>
          <w:sz w:val="28"/>
          <w:szCs w:val="28"/>
        </w:rPr>
      </w:pPr>
      <w:r>
        <w:rPr>
          <w:rFonts w:eastAsia="仿宋"/>
          <w:sz w:val="28"/>
          <w:szCs w:val="28"/>
        </w:rPr>
        <w:t>（2）续报采用书面报告，在初报的基础上报告有关确切数据，以及事故发生的原因、过程、进展情况及采取的应急措施等基本情况（见附件5）。</w:t>
      </w:r>
    </w:p>
    <w:p w14:paraId="3D2E5269">
      <w:pPr>
        <w:spacing w:line="560" w:lineRule="exact"/>
        <w:ind w:firstLine="560" w:firstLineChars="200"/>
        <w:rPr>
          <w:rFonts w:eastAsia="仿宋"/>
          <w:sz w:val="28"/>
          <w:szCs w:val="28"/>
        </w:rPr>
      </w:pPr>
      <w:r>
        <w:rPr>
          <w:rFonts w:eastAsia="仿宋"/>
          <w:sz w:val="28"/>
          <w:szCs w:val="28"/>
        </w:rPr>
        <w:t>（3）终结报告采用书面报告，在初报和续报的基础上，报告处理事故的措施、过程和结果，事故潜在或间接的危害、社会影响、处理后的遗留问题，参加处置工作的有关部门和工作内容，出具有关危害与损失的证明文件等详细情况。</w:t>
      </w:r>
    </w:p>
    <w:p w14:paraId="2E9DE271">
      <w:pPr>
        <w:spacing w:line="560" w:lineRule="exact"/>
        <w:ind w:firstLine="562"/>
        <w:outlineLvl w:val="2"/>
        <w:rPr>
          <w:rFonts w:eastAsia="黑体"/>
          <w:b/>
          <w:sz w:val="28"/>
          <w:szCs w:val="28"/>
        </w:rPr>
      </w:pPr>
      <w:r>
        <w:rPr>
          <w:rFonts w:eastAsia="黑体"/>
          <w:b/>
          <w:sz w:val="28"/>
          <w:szCs w:val="28"/>
        </w:rPr>
        <w:t>4.1.3 跨</w:t>
      </w:r>
      <w:r>
        <w:rPr>
          <w:rFonts w:hint="eastAsia" w:eastAsia="黑体"/>
          <w:b/>
          <w:sz w:val="28"/>
          <w:szCs w:val="28"/>
        </w:rPr>
        <w:t>区</w:t>
      </w:r>
      <w:r>
        <w:rPr>
          <w:rFonts w:eastAsia="黑体"/>
          <w:b/>
          <w:sz w:val="28"/>
          <w:szCs w:val="28"/>
        </w:rPr>
        <w:t>域的信息通报</w:t>
      </w:r>
    </w:p>
    <w:p w14:paraId="0A1C728B">
      <w:pPr>
        <w:spacing w:line="560" w:lineRule="exact"/>
        <w:ind w:firstLine="560" w:firstLineChars="200"/>
        <w:rPr>
          <w:rFonts w:eastAsia="仿宋"/>
          <w:sz w:val="28"/>
          <w:szCs w:val="28"/>
        </w:rPr>
      </w:pPr>
      <w:r>
        <w:rPr>
          <w:rFonts w:eastAsia="仿宋"/>
          <w:sz w:val="28"/>
          <w:szCs w:val="28"/>
        </w:rPr>
        <w:t>辐射事故已经或可能涉及相邻县级行政区域的，</w:t>
      </w:r>
      <w:r>
        <w:rPr>
          <w:rFonts w:hint="eastAsia" w:eastAsia="仿宋"/>
          <w:sz w:val="28"/>
          <w:szCs w:val="28"/>
        </w:rPr>
        <w:t>县</w:t>
      </w:r>
      <w:r>
        <w:rPr>
          <w:rFonts w:eastAsia="仿宋"/>
          <w:sz w:val="28"/>
          <w:szCs w:val="28"/>
        </w:rPr>
        <w:t>政府及</w:t>
      </w:r>
      <w:r>
        <w:rPr>
          <w:rFonts w:hint="eastAsia" w:eastAsia="仿宋"/>
          <w:sz w:val="28"/>
          <w:szCs w:val="28"/>
        </w:rPr>
        <w:t>吕梁</w:t>
      </w:r>
      <w:r>
        <w:rPr>
          <w:rFonts w:eastAsia="仿宋"/>
          <w:sz w:val="28"/>
          <w:szCs w:val="28"/>
        </w:rPr>
        <w:t>市生态环境局</w:t>
      </w:r>
      <w:r>
        <w:rPr>
          <w:rFonts w:hint="eastAsia" w:eastAsia="仿宋"/>
          <w:sz w:val="28"/>
          <w:szCs w:val="28"/>
        </w:rPr>
        <w:t>文水</w:t>
      </w:r>
      <w:r>
        <w:rPr>
          <w:rFonts w:eastAsia="仿宋"/>
          <w:sz w:val="28"/>
          <w:szCs w:val="28"/>
        </w:rPr>
        <w:t>分局应当及时通报相邻行政区域的县级政府及其生态环境部门。接到已经发生或者可能发生跨市级行政区域</w:t>
      </w:r>
      <w:r>
        <w:rPr>
          <w:rFonts w:hint="eastAsia" w:eastAsia="仿宋"/>
          <w:sz w:val="28"/>
          <w:szCs w:val="28"/>
        </w:rPr>
        <w:t>辐射事故</w:t>
      </w:r>
      <w:r>
        <w:rPr>
          <w:rFonts w:eastAsia="仿宋"/>
          <w:sz w:val="28"/>
          <w:szCs w:val="28"/>
        </w:rPr>
        <w:t>信息时，</w:t>
      </w:r>
      <w:r>
        <w:rPr>
          <w:rFonts w:hint="eastAsia" w:eastAsia="仿宋"/>
          <w:sz w:val="28"/>
          <w:szCs w:val="28"/>
        </w:rPr>
        <w:t>吕梁</w:t>
      </w:r>
      <w:r>
        <w:rPr>
          <w:rFonts w:eastAsia="仿宋"/>
          <w:sz w:val="28"/>
          <w:szCs w:val="28"/>
        </w:rPr>
        <w:t>市生态环境局</w:t>
      </w:r>
      <w:r>
        <w:rPr>
          <w:rFonts w:hint="eastAsia" w:eastAsia="仿宋"/>
          <w:sz w:val="28"/>
          <w:szCs w:val="28"/>
        </w:rPr>
        <w:t>文水</w:t>
      </w:r>
      <w:r>
        <w:rPr>
          <w:rFonts w:eastAsia="仿宋"/>
          <w:sz w:val="28"/>
          <w:szCs w:val="28"/>
        </w:rPr>
        <w:t>分局应立即向</w:t>
      </w:r>
      <w:r>
        <w:rPr>
          <w:rFonts w:hint="eastAsia" w:eastAsia="仿宋"/>
          <w:sz w:val="28"/>
          <w:szCs w:val="28"/>
          <w:lang w:val="en-US" w:eastAsia="zh-CN"/>
        </w:rPr>
        <w:t>文水县</w:t>
      </w:r>
      <w:r>
        <w:rPr>
          <w:rFonts w:eastAsia="仿宋"/>
          <w:sz w:val="28"/>
          <w:szCs w:val="28"/>
        </w:rPr>
        <w:t>政府及</w:t>
      </w:r>
      <w:r>
        <w:rPr>
          <w:rFonts w:hint="eastAsia" w:eastAsia="仿宋"/>
          <w:sz w:val="28"/>
          <w:szCs w:val="28"/>
        </w:rPr>
        <w:t>吕梁</w:t>
      </w:r>
      <w:r>
        <w:rPr>
          <w:rFonts w:eastAsia="仿宋"/>
          <w:sz w:val="28"/>
          <w:szCs w:val="28"/>
        </w:rPr>
        <w:t>市生态环境局报告，按照</w:t>
      </w:r>
      <w:r>
        <w:rPr>
          <w:rFonts w:hint="eastAsia" w:eastAsia="仿宋"/>
          <w:sz w:val="28"/>
          <w:szCs w:val="28"/>
        </w:rPr>
        <w:t>吕梁</w:t>
      </w:r>
      <w:r>
        <w:rPr>
          <w:rFonts w:eastAsia="仿宋"/>
          <w:sz w:val="28"/>
          <w:szCs w:val="28"/>
        </w:rPr>
        <w:t>市生态环境局相关规定执行</w:t>
      </w:r>
      <w:r>
        <w:rPr>
          <w:rFonts w:hint="eastAsia" w:eastAsia="仿宋"/>
          <w:sz w:val="28"/>
          <w:szCs w:val="28"/>
        </w:rPr>
        <w:t>。</w:t>
      </w:r>
    </w:p>
    <w:p w14:paraId="3E657AF1">
      <w:pPr>
        <w:spacing w:line="600" w:lineRule="exact"/>
        <w:ind w:firstLine="600"/>
        <w:outlineLvl w:val="1"/>
        <w:rPr>
          <w:rFonts w:eastAsia="黑体"/>
          <w:sz w:val="30"/>
          <w:szCs w:val="30"/>
        </w:rPr>
      </w:pPr>
      <w:bookmarkStart w:id="39" w:name="_Toc18619"/>
      <w:bookmarkStart w:id="40" w:name="_Toc20526"/>
      <w:r>
        <w:rPr>
          <w:rFonts w:eastAsia="黑体"/>
          <w:sz w:val="30"/>
          <w:szCs w:val="30"/>
        </w:rPr>
        <w:t>4.2 先期处置</w:t>
      </w:r>
      <w:bookmarkEnd w:id="39"/>
      <w:bookmarkEnd w:id="40"/>
    </w:p>
    <w:p w14:paraId="2ADAF507">
      <w:pPr>
        <w:spacing w:line="560" w:lineRule="exact"/>
        <w:ind w:firstLine="560" w:firstLineChars="200"/>
        <w:rPr>
          <w:rFonts w:eastAsia="仿宋"/>
          <w:sz w:val="28"/>
          <w:szCs w:val="28"/>
        </w:rPr>
      </w:pPr>
      <w:r>
        <w:rPr>
          <w:rFonts w:eastAsia="仿宋"/>
          <w:sz w:val="28"/>
          <w:szCs w:val="28"/>
        </w:rPr>
        <w:t>辐射事故发生后，事故单位、</w:t>
      </w:r>
      <w:r>
        <w:rPr>
          <w:rFonts w:hint="eastAsia" w:eastAsia="仿宋"/>
          <w:sz w:val="28"/>
          <w:szCs w:val="28"/>
        </w:rPr>
        <w:t>县</w:t>
      </w:r>
      <w:r>
        <w:rPr>
          <w:rFonts w:eastAsia="仿宋"/>
          <w:sz w:val="28"/>
          <w:szCs w:val="28"/>
        </w:rPr>
        <w:t>政府和有关部门要按照属地为主原则立即采取措施，组织处置，防止事故扩大。当事态超出处理能力时，报请</w:t>
      </w:r>
      <w:r>
        <w:rPr>
          <w:rFonts w:hint="eastAsia" w:eastAsia="仿宋"/>
          <w:sz w:val="28"/>
          <w:szCs w:val="28"/>
        </w:rPr>
        <w:t>吕梁市</w:t>
      </w:r>
      <w:r>
        <w:rPr>
          <w:rFonts w:eastAsia="仿宋"/>
          <w:sz w:val="28"/>
          <w:szCs w:val="28"/>
        </w:rPr>
        <w:t>政府及相关部门。</w:t>
      </w:r>
    </w:p>
    <w:p w14:paraId="2B3DDA20">
      <w:pPr>
        <w:spacing w:line="600" w:lineRule="exact"/>
        <w:ind w:firstLine="600"/>
        <w:outlineLvl w:val="1"/>
        <w:rPr>
          <w:rFonts w:eastAsia="黑体"/>
          <w:sz w:val="30"/>
          <w:szCs w:val="30"/>
        </w:rPr>
      </w:pPr>
      <w:bookmarkStart w:id="41" w:name="_Toc26498"/>
      <w:bookmarkStart w:id="42" w:name="_Toc6639"/>
      <w:bookmarkStart w:id="43" w:name="_Toc7922"/>
      <w:r>
        <w:rPr>
          <w:rFonts w:eastAsia="黑体"/>
          <w:sz w:val="30"/>
          <w:szCs w:val="30"/>
        </w:rPr>
        <w:t>4.3 应急响应</w:t>
      </w:r>
      <w:bookmarkEnd w:id="41"/>
      <w:bookmarkEnd w:id="42"/>
      <w:bookmarkEnd w:id="43"/>
    </w:p>
    <w:p w14:paraId="22CFDA1C">
      <w:pPr>
        <w:spacing w:line="560" w:lineRule="exact"/>
        <w:ind w:firstLine="560" w:firstLineChars="200"/>
        <w:rPr>
          <w:rFonts w:eastAsia="仿宋"/>
          <w:sz w:val="28"/>
          <w:szCs w:val="28"/>
        </w:rPr>
      </w:pPr>
      <w:r>
        <w:rPr>
          <w:rFonts w:eastAsia="仿宋"/>
          <w:sz w:val="28"/>
          <w:szCs w:val="28"/>
        </w:rPr>
        <w:t>根据辐射事故的分级标准、严重程度和发展态势，辐射事故应急响应级别由低到高分为四级、三级、二级和一级四个级别。辐射事故发生后，按照事故等级，启动相应等级的应急响应。</w:t>
      </w:r>
      <w:r>
        <w:rPr>
          <w:rFonts w:hint="eastAsia" w:eastAsia="仿宋"/>
          <w:sz w:val="28"/>
          <w:szCs w:val="28"/>
        </w:rPr>
        <w:t>县</w:t>
      </w:r>
      <w:r>
        <w:rPr>
          <w:rFonts w:eastAsia="仿宋"/>
          <w:sz w:val="28"/>
          <w:szCs w:val="28"/>
        </w:rPr>
        <w:t>辐射事故响应条件及应急措施见附件3。</w:t>
      </w:r>
    </w:p>
    <w:p w14:paraId="5E02214D">
      <w:pPr>
        <w:spacing w:line="560" w:lineRule="exact"/>
        <w:ind w:firstLine="560" w:firstLineChars="200"/>
        <w:rPr>
          <w:rFonts w:eastAsia="仿宋"/>
          <w:sz w:val="28"/>
          <w:szCs w:val="28"/>
        </w:rPr>
      </w:pPr>
      <w:r>
        <w:rPr>
          <w:rFonts w:eastAsia="仿宋"/>
          <w:sz w:val="28"/>
          <w:szCs w:val="28"/>
        </w:rPr>
        <w:t>辐射事故发生在易造成重大影响的地区或重要时段时，可适当提高响应级别。应急响应启动后可视事故损失情况及其发展趋势调整响应级别，避免响应不足或响应过度。</w:t>
      </w:r>
    </w:p>
    <w:p w14:paraId="6A7260CA">
      <w:pPr>
        <w:spacing w:line="560" w:lineRule="exact"/>
        <w:ind w:firstLine="562"/>
        <w:outlineLvl w:val="2"/>
        <w:rPr>
          <w:rFonts w:eastAsia="黑体"/>
          <w:b/>
          <w:sz w:val="28"/>
          <w:szCs w:val="28"/>
        </w:rPr>
      </w:pPr>
      <w:r>
        <w:rPr>
          <w:rFonts w:eastAsia="黑体"/>
          <w:b/>
          <w:sz w:val="28"/>
          <w:szCs w:val="28"/>
        </w:rPr>
        <w:t>4.3.1 四级响应</w:t>
      </w:r>
    </w:p>
    <w:p w14:paraId="53530169">
      <w:pPr>
        <w:spacing w:line="560" w:lineRule="exact"/>
        <w:ind w:firstLine="560" w:firstLineChars="200"/>
        <w:rPr>
          <w:rFonts w:eastAsia="仿宋"/>
          <w:sz w:val="28"/>
          <w:szCs w:val="28"/>
        </w:rPr>
      </w:pPr>
      <w:r>
        <w:rPr>
          <w:rFonts w:eastAsia="仿宋"/>
          <w:sz w:val="28"/>
          <w:szCs w:val="28"/>
        </w:rPr>
        <w:t>初判发生一般辐射事故的，</w:t>
      </w:r>
      <w:r>
        <w:rPr>
          <w:rFonts w:hint="eastAsia" w:eastAsia="仿宋"/>
          <w:sz w:val="28"/>
          <w:szCs w:val="28"/>
        </w:rPr>
        <w:t>县</w:t>
      </w:r>
      <w:r>
        <w:rPr>
          <w:rFonts w:eastAsia="仿宋"/>
          <w:sz w:val="28"/>
          <w:szCs w:val="28"/>
        </w:rPr>
        <w:t>指挥部办公室向指挥长报告，由指挥长启动四级响应。主要开展以下应对工作：</w:t>
      </w:r>
    </w:p>
    <w:p w14:paraId="1350B00E">
      <w:pPr>
        <w:spacing w:line="560" w:lineRule="exact"/>
        <w:ind w:firstLine="560" w:firstLineChars="200"/>
        <w:rPr>
          <w:rFonts w:eastAsia="仿宋"/>
          <w:sz w:val="28"/>
          <w:szCs w:val="28"/>
        </w:rPr>
      </w:pPr>
      <w:r>
        <w:rPr>
          <w:rFonts w:eastAsia="仿宋"/>
          <w:sz w:val="28"/>
          <w:szCs w:val="28"/>
        </w:rPr>
        <w:t>（1）赶赴事发现场，成立现场指挥部，召集有关部门分析事故状况，组织开展应对工作</w:t>
      </w:r>
      <w:r>
        <w:rPr>
          <w:rFonts w:hint="eastAsia" w:eastAsia="仿宋"/>
          <w:sz w:val="28"/>
          <w:szCs w:val="28"/>
        </w:rPr>
        <w:t>；</w:t>
      </w:r>
    </w:p>
    <w:p w14:paraId="2B2B1112">
      <w:pPr>
        <w:spacing w:line="560" w:lineRule="exact"/>
        <w:ind w:firstLine="560" w:firstLineChars="200"/>
        <w:rPr>
          <w:rFonts w:eastAsia="仿宋"/>
          <w:sz w:val="28"/>
          <w:szCs w:val="28"/>
        </w:rPr>
      </w:pPr>
      <w:r>
        <w:rPr>
          <w:rFonts w:eastAsia="仿宋"/>
          <w:sz w:val="28"/>
          <w:szCs w:val="28"/>
        </w:rPr>
        <w:t>（2）制定现场处置、救援方案，组织开展应急处置、应急监测、应急救援等工作；设置现场警戒区和交通管制区域，确定重点防护区域</w:t>
      </w:r>
      <w:r>
        <w:rPr>
          <w:rFonts w:hint="eastAsia" w:eastAsia="仿宋"/>
          <w:sz w:val="28"/>
          <w:szCs w:val="28"/>
        </w:rPr>
        <w:t>；</w:t>
      </w:r>
    </w:p>
    <w:p w14:paraId="76A4CCB4">
      <w:pPr>
        <w:spacing w:line="560" w:lineRule="exact"/>
        <w:ind w:firstLine="560" w:firstLineChars="200"/>
        <w:rPr>
          <w:rFonts w:eastAsia="仿宋"/>
          <w:sz w:val="28"/>
          <w:szCs w:val="28"/>
        </w:rPr>
      </w:pPr>
      <w:r>
        <w:rPr>
          <w:rFonts w:eastAsia="仿宋"/>
          <w:sz w:val="28"/>
          <w:szCs w:val="28"/>
        </w:rPr>
        <w:t>（3）组织协调相关专业应急队伍、物资、装备等应急资源，为应急处置提供支援和支持</w:t>
      </w:r>
      <w:r>
        <w:rPr>
          <w:rFonts w:hint="eastAsia" w:eastAsia="仿宋"/>
          <w:sz w:val="28"/>
          <w:szCs w:val="28"/>
        </w:rPr>
        <w:t>；</w:t>
      </w:r>
    </w:p>
    <w:p w14:paraId="1A807DEB">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4</w:t>
      </w:r>
      <w:r>
        <w:rPr>
          <w:rFonts w:eastAsia="仿宋"/>
          <w:sz w:val="28"/>
          <w:szCs w:val="28"/>
        </w:rPr>
        <w:t>）统一组织事故信息发布、舆论引导</w:t>
      </w:r>
      <w:r>
        <w:rPr>
          <w:rFonts w:hint="eastAsia" w:eastAsia="仿宋"/>
          <w:sz w:val="28"/>
          <w:szCs w:val="28"/>
        </w:rPr>
        <w:t>；</w:t>
      </w:r>
    </w:p>
    <w:p w14:paraId="12D048A8">
      <w:pPr>
        <w:spacing w:line="560" w:lineRule="exact"/>
        <w:ind w:firstLine="560" w:firstLineChars="200"/>
        <w:rPr>
          <w:rFonts w:eastAsia="仿宋"/>
          <w:sz w:val="28"/>
          <w:szCs w:val="28"/>
        </w:rPr>
      </w:pPr>
      <w:r>
        <w:rPr>
          <w:rFonts w:eastAsia="仿宋"/>
          <w:sz w:val="28"/>
          <w:szCs w:val="28"/>
        </w:rPr>
        <w:t>（</w:t>
      </w:r>
      <w:r>
        <w:rPr>
          <w:rFonts w:hint="eastAsia" w:ascii="Times New Roman" w:hAnsi="Times New Roman" w:eastAsia="仿宋" w:cs="Times New Roman"/>
          <w:sz w:val="28"/>
          <w:szCs w:val="28"/>
        </w:rPr>
        <w:t>5</w:t>
      </w:r>
      <w:r>
        <w:rPr>
          <w:rFonts w:ascii="Times New Roman" w:hAnsi="Times New Roman" w:eastAsia="仿宋" w:cs="Times New Roman"/>
          <w:sz w:val="28"/>
          <w:szCs w:val="28"/>
        </w:rPr>
        <w:t>）视情况向毗邻和可能波及的其他</w:t>
      </w:r>
      <w:r>
        <w:rPr>
          <w:rFonts w:hint="eastAsia" w:ascii="Times New Roman" w:hAnsi="Times New Roman" w:eastAsia="仿宋" w:cs="Times New Roman"/>
          <w:sz w:val="28"/>
          <w:szCs w:val="28"/>
          <w:lang w:val="en-US" w:eastAsia="zh-CN"/>
        </w:rPr>
        <w:t>市（区）</w:t>
      </w:r>
      <w:r>
        <w:rPr>
          <w:rFonts w:ascii="Times New Roman" w:hAnsi="Times New Roman" w:eastAsia="仿宋" w:cs="Times New Roman"/>
          <w:sz w:val="28"/>
          <w:szCs w:val="28"/>
        </w:rPr>
        <w:t>政府通报情况</w:t>
      </w:r>
      <w:r>
        <w:rPr>
          <w:rFonts w:hint="eastAsia" w:ascii="Times New Roman" w:hAnsi="Times New Roman" w:eastAsia="仿宋" w:cs="Times New Roman"/>
          <w:sz w:val="28"/>
          <w:szCs w:val="28"/>
        </w:rPr>
        <w:t>；</w:t>
      </w:r>
    </w:p>
    <w:p w14:paraId="620697E4">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6</w:t>
      </w:r>
      <w:r>
        <w:rPr>
          <w:rFonts w:eastAsia="仿宋"/>
          <w:sz w:val="28"/>
          <w:szCs w:val="28"/>
        </w:rPr>
        <w:t>）配合</w:t>
      </w:r>
      <w:r>
        <w:rPr>
          <w:rFonts w:hint="eastAsia" w:eastAsia="仿宋"/>
          <w:sz w:val="28"/>
          <w:szCs w:val="28"/>
        </w:rPr>
        <w:t>吕梁市工作组</w:t>
      </w:r>
      <w:r>
        <w:rPr>
          <w:rFonts w:eastAsia="仿宋"/>
          <w:sz w:val="28"/>
          <w:szCs w:val="28"/>
        </w:rPr>
        <w:t>开展</w:t>
      </w:r>
      <w:r>
        <w:rPr>
          <w:rFonts w:hint="eastAsia" w:eastAsia="仿宋"/>
          <w:sz w:val="28"/>
          <w:szCs w:val="28"/>
        </w:rPr>
        <w:t>一般</w:t>
      </w:r>
      <w:r>
        <w:rPr>
          <w:rFonts w:eastAsia="仿宋"/>
          <w:sz w:val="28"/>
          <w:szCs w:val="28"/>
        </w:rPr>
        <w:t>辐射事故调查工作；</w:t>
      </w:r>
    </w:p>
    <w:p w14:paraId="2DCF7B7E">
      <w:pPr>
        <w:spacing w:line="560" w:lineRule="exact"/>
        <w:ind w:firstLine="560" w:firstLineChars="200"/>
        <w:rPr>
          <w:rFonts w:eastAsia="仿宋"/>
          <w:sz w:val="28"/>
          <w:szCs w:val="28"/>
        </w:rPr>
      </w:pPr>
      <w:r>
        <w:rPr>
          <w:rFonts w:eastAsia="仿宋"/>
          <w:sz w:val="28"/>
          <w:szCs w:val="28"/>
        </w:rPr>
        <w:t>（</w:t>
      </w:r>
      <w:r>
        <w:rPr>
          <w:rFonts w:hint="eastAsia" w:eastAsia="仿宋"/>
          <w:sz w:val="28"/>
          <w:szCs w:val="28"/>
        </w:rPr>
        <w:t>7</w:t>
      </w:r>
      <w:r>
        <w:rPr>
          <w:rFonts w:eastAsia="仿宋"/>
          <w:sz w:val="28"/>
          <w:szCs w:val="28"/>
        </w:rPr>
        <w:t>）</w:t>
      </w:r>
      <w:r>
        <w:rPr>
          <w:rFonts w:hint="eastAsia" w:eastAsia="仿宋"/>
          <w:sz w:val="28"/>
          <w:szCs w:val="28"/>
        </w:rPr>
        <w:t>必要时，</w:t>
      </w:r>
      <w:r>
        <w:rPr>
          <w:rFonts w:eastAsia="仿宋"/>
          <w:sz w:val="28"/>
          <w:szCs w:val="28"/>
        </w:rPr>
        <w:t>开展</w:t>
      </w:r>
      <w:r>
        <w:rPr>
          <w:rFonts w:hint="eastAsia" w:eastAsia="仿宋"/>
          <w:sz w:val="28"/>
          <w:szCs w:val="28"/>
        </w:rPr>
        <w:t>一般</w:t>
      </w:r>
      <w:r>
        <w:rPr>
          <w:rFonts w:eastAsia="仿宋"/>
          <w:sz w:val="28"/>
          <w:szCs w:val="28"/>
        </w:rPr>
        <w:t xml:space="preserve">辐射事故损害评估工作； </w:t>
      </w:r>
    </w:p>
    <w:p w14:paraId="60D34C2B">
      <w:pPr>
        <w:spacing w:line="560" w:lineRule="exact"/>
        <w:ind w:firstLine="560" w:firstLineChars="200"/>
        <w:rPr>
          <w:rFonts w:eastAsia="仿宋"/>
          <w:sz w:val="28"/>
          <w:szCs w:val="28"/>
        </w:rPr>
      </w:pPr>
      <w:r>
        <w:rPr>
          <w:rFonts w:hint="eastAsia" w:eastAsia="仿宋"/>
          <w:sz w:val="28"/>
          <w:szCs w:val="28"/>
        </w:rPr>
        <w:t>（8）</w:t>
      </w:r>
      <w:r>
        <w:rPr>
          <w:rFonts w:eastAsia="仿宋"/>
          <w:sz w:val="28"/>
          <w:szCs w:val="28"/>
        </w:rPr>
        <w:t>必要时，</w:t>
      </w:r>
      <w:r>
        <w:rPr>
          <w:rFonts w:hint="eastAsia" w:eastAsia="仿宋"/>
          <w:sz w:val="28"/>
          <w:szCs w:val="28"/>
        </w:rPr>
        <w:t>县</w:t>
      </w:r>
      <w:r>
        <w:rPr>
          <w:rFonts w:eastAsia="仿宋"/>
          <w:sz w:val="28"/>
          <w:szCs w:val="28"/>
        </w:rPr>
        <w:t>指挥部负责向</w:t>
      </w:r>
      <w:r>
        <w:rPr>
          <w:rFonts w:hint="eastAsia" w:eastAsia="仿宋"/>
          <w:sz w:val="28"/>
          <w:szCs w:val="28"/>
        </w:rPr>
        <w:t>吕梁市</w:t>
      </w:r>
      <w:r>
        <w:rPr>
          <w:rFonts w:eastAsia="仿宋"/>
          <w:sz w:val="28"/>
          <w:szCs w:val="28"/>
        </w:rPr>
        <w:t>政府和</w:t>
      </w:r>
      <w:r>
        <w:rPr>
          <w:rFonts w:hint="eastAsia" w:eastAsia="仿宋"/>
          <w:sz w:val="28"/>
          <w:szCs w:val="28"/>
        </w:rPr>
        <w:t>吕梁市生态环境局</w:t>
      </w:r>
      <w:r>
        <w:rPr>
          <w:rFonts w:eastAsia="仿宋"/>
          <w:sz w:val="28"/>
          <w:szCs w:val="28"/>
        </w:rPr>
        <w:t>请求应急支援。</w:t>
      </w:r>
    </w:p>
    <w:p w14:paraId="78C9F411">
      <w:pPr>
        <w:spacing w:line="560" w:lineRule="exact"/>
        <w:ind w:firstLine="562"/>
        <w:outlineLvl w:val="2"/>
        <w:rPr>
          <w:rFonts w:eastAsia="黑体"/>
          <w:b/>
          <w:sz w:val="28"/>
          <w:szCs w:val="28"/>
        </w:rPr>
      </w:pPr>
      <w:r>
        <w:rPr>
          <w:rFonts w:eastAsia="黑体"/>
          <w:b/>
          <w:sz w:val="28"/>
          <w:szCs w:val="28"/>
        </w:rPr>
        <w:t>4.3.2 三级响应</w:t>
      </w:r>
    </w:p>
    <w:p w14:paraId="2AAE4324">
      <w:pPr>
        <w:keepNext w:val="0"/>
        <w:keepLines w:val="0"/>
        <w:pageBreakBefore w:val="0"/>
        <w:widowControl w:val="0"/>
        <w:kinsoku/>
        <w:wordWrap/>
        <w:overflowPunct/>
        <w:topLinePunct w:val="0"/>
        <w:autoSpaceDE/>
        <w:autoSpaceDN/>
        <w:bidi w:val="0"/>
        <w:adjustRightInd/>
        <w:snapToGrid/>
        <w:spacing w:line="560" w:lineRule="exact"/>
        <w:ind w:firstLine="561"/>
        <w:textAlignment w:val="auto"/>
        <w:outlineLvl w:val="9"/>
        <w:rPr>
          <w:rFonts w:hint="eastAsia" w:eastAsia="仿宋"/>
          <w:sz w:val="28"/>
          <w:szCs w:val="28"/>
        </w:rPr>
      </w:pPr>
      <w:r>
        <w:rPr>
          <w:rFonts w:hint="eastAsia" w:eastAsia="仿宋"/>
          <w:sz w:val="28"/>
          <w:szCs w:val="28"/>
        </w:rPr>
        <w:t>初判发生较大辐射事故的，县指挥部指挥长向市政府及市生态环境局报告，由市指挥机构启动三级响应，进一步加强现场指挥部力量，县级在做好四级响应重点工作的基础上，落实市工作组指导意见，做好事件应急处理工作；并及时向市应急指挥机构和有关部门报告事件的应急处理工作进展情况。</w:t>
      </w:r>
    </w:p>
    <w:p w14:paraId="1EBB0945">
      <w:pPr>
        <w:spacing w:line="560" w:lineRule="exact"/>
        <w:ind w:firstLine="562"/>
        <w:outlineLvl w:val="2"/>
        <w:rPr>
          <w:rFonts w:eastAsia="黑体"/>
          <w:b/>
          <w:sz w:val="28"/>
          <w:szCs w:val="28"/>
        </w:rPr>
      </w:pPr>
      <w:r>
        <w:rPr>
          <w:rFonts w:eastAsia="黑体"/>
          <w:b/>
          <w:sz w:val="28"/>
          <w:szCs w:val="28"/>
        </w:rPr>
        <w:t>4.3.3 二级响应</w:t>
      </w:r>
    </w:p>
    <w:p w14:paraId="0CE3271E">
      <w:pPr>
        <w:keepNext w:val="0"/>
        <w:keepLines w:val="0"/>
        <w:pageBreakBefore w:val="0"/>
        <w:widowControl w:val="0"/>
        <w:kinsoku/>
        <w:wordWrap/>
        <w:overflowPunct/>
        <w:topLinePunct w:val="0"/>
        <w:autoSpaceDE/>
        <w:autoSpaceDN/>
        <w:bidi w:val="0"/>
        <w:adjustRightInd/>
        <w:snapToGrid/>
        <w:spacing w:line="560" w:lineRule="exact"/>
        <w:ind w:firstLine="561"/>
        <w:textAlignment w:val="auto"/>
        <w:outlineLvl w:val="9"/>
        <w:rPr>
          <w:rFonts w:hint="eastAsia" w:eastAsia="仿宋"/>
          <w:sz w:val="28"/>
          <w:szCs w:val="28"/>
        </w:rPr>
      </w:pPr>
      <w:r>
        <w:rPr>
          <w:rFonts w:hint="eastAsia" w:eastAsia="仿宋"/>
          <w:sz w:val="28"/>
          <w:szCs w:val="28"/>
        </w:rPr>
        <w:t>初判发生重大、特别重大辐射事故的，县指挥部指挥长向市政府及市生态环境局报告，县级在做好四级响应重点工作的基础上，落实省、市工作组指导意见，做好事件应急处理工作；并及时向市应急指挥机构和有关部门报告事件的应急处理工作进展情况。</w:t>
      </w:r>
    </w:p>
    <w:p w14:paraId="7F2352A4">
      <w:pPr>
        <w:spacing w:line="560" w:lineRule="exact"/>
        <w:ind w:firstLine="562"/>
        <w:outlineLvl w:val="2"/>
        <w:rPr>
          <w:rFonts w:eastAsia="黑体"/>
          <w:b/>
          <w:sz w:val="28"/>
          <w:szCs w:val="28"/>
        </w:rPr>
      </w:pPr>
      <w:r>
        <w:rPr>
          <w:rFonts w:eastAsia="黑体"/>
          <w:b/>
          <w:sz w:val="28"/>
          <w:szCs w:val="28"/>
        </w:rPr>
        <w:t>4.3.4 一级响应</w:t>
      </w:r>
    </w:p>
    <w:p w14:paraId="3D85EB93">
      <w:pPr>
        <w:keepNext w:val="0"/>
        <w:keepLines w:val="0"/>
        <w:pageBreakBefore w:val="0"/>
        <w:widowControl w:val="0"/>
        <w:kinsoku/>
        <w:wordWrap/>
        <w:overflowPunct/>
        <w:topLinePunct w:val="0"/>
        <w:autoSpaceDE/>
        <w:autoSpaceDN/>
        <w:bidi w:val="0"/>
        <w:adjustRightInd/>
        <w:snapToGrid/>
        <w:spacing w:line="560" w:lineRule="exact"/>
        <w:ind w:firstLine="561"/>
        <w:textAlignment w:val="auto"/>
        <w:outlineLvl w:val="9"/>
        <w:rPr>
          <w:rFonts w:hint="eastAsia" w:eastAsia="仿宋"/>
          <w:sz w:val="28"/>
          <w:szCs w:val="28"/>
        </w:rPr>
      </w:pPr>
      <w:bookmarkStart w:id="44" w:name="_Toc30159"/>
      <w:r>
        <w:rPr>
          <w:rFonts w:hint="eastAsia" w:eastAsia="仿宋"/>
          <w:sz w:val="28"/>
          <w:szCs w:val="28"/>
        </w:rPr>
        <w:t>初判发生重大、特别重大辐射事故的，县指挥部指挥长向市政府及市生态环境局报告，县级在做好四级响应重点工作的基础上，落实省、市工作组指导意见，做好事件应急处理工作；并及时向市应急指挥机构和有关部门报告事件的应急处理工作进展情况。</w:t>
      </w:r>
    </w:p>
    <w:p w14:paraId="649B678A">
      <w:pPr>
        <w:spacing w:line="600" w:lineRule="exact"/>
        <w:ind w:firstLine="600"/>
        <w:outlineLvl w:val="1"/>
        <w:rPr>
          <w:rFonts w:eastAsia="黑体"/>
          <w:sz w:val="30"/>
          <w:szCs w:val="30"/>
        </w:rPr>
      </w:pPr>
      <w:bookmarkStart w:id="45" w:name="_Toc26186"/>
      <w:r>
        <w:rPr>
          <w:rFonts w:hint="eastAsia" w:eastAsia="黑体"/>
          <w:sz w:val="30"/>
          <w:szCs w:val="30"/>
        </w:rPr>
        <w:t>4.4</w:t>
      </w:r>
      <w:r>
        <w:rPr>
          <w:rFonts w:eastAsia="黑体"/>
          <w:sz w:val="30"/>
          <w:szCs w:val="30"/>
        </w:rPr>
        <w:t xml:space="preserve"> </w:t>
      </w:r>
      <w:r>
        <w:rPr>
          <w:rFonts w:hint="eastAsia" w:eastAsia="黑体"/>
          <w:sz w:val="30"/>
          <w:szCs w:val="30"/>
        </w:rPr>
        <w:t>应急措施</w:t>
      </w:r>
      <w:bookmarkEnd w:id="44"/>
      <w:bookmarkEnd w:id="45"/>
      <w:r>
        <w:rPr>
          <w:rFonts w:eastAsia="黑体"/>
          <w:sz w:val="30"/>
          <w:szCs w:val="30"/>
        </w:rPr>
        <w:t xml:space="preserve"> </w:t>
      </w:r>
    </w:p>
    <w:bookmarkEnd w:id="38"/>
    <w:p w14:paraId="73A25469">
      <w:pPr>
        <w:spacing w:line="560" w:lineRule="exact"/>
        <w:ind w:firstLine="560" w:firstLineChars="200"/>
        <w:rPr>
          <w:rFonts w:eastAsia="仿宋"/>
          <w:sz w:val="28"/>
          <w:szCs w:val="28"/>
        </w:rPr>
      </w:pPr>
      <w:r>
        <w:rPr>
          <w:rFonts w:eastAsia="仿宋"/>
          <w:sz w:val="28"/>
          <w:szCs w:val="28"/>
        </w:rPr>
        <w:t>辐射事故发生后，</w:t>
      </w:r>
      <w:r>
        <w:rPr>
          <w:rFonts w:hint="eastAsia" w:eastAsia="仿宋"/>
          <w:sz w:val="28"/>
          <w:szCs w:val="28"/>
        </w:rPr>
        <w:t>县</w:t>
      </w:r>
      <w:r>
        <w:rPr>
          <w:rFonts w:eastAsia="仿宋"/>
          <w:sz w:val="28"/>
          <w:szCs w:val="28"/>
        </w:rPr>
        <w:t>政府、有关部门和单位根据工作需要，组织采取以下措施。</w:t>
      </w:r>
    </w:p>
    <w:p w14:paraId="23775400">
      <w:pPr>
        <w:spacing w:line="560" w:lineRule="exact"/>
        <w:ind w:firstLine="562"/>
        <w:outlineLvl w:val="2"/>
        <w:rPr>
          <w:rFonts w:eastAsia="黑体"/>
          <w:b/>
          <w:sz w:val="28"/>
          <w:szCs w:val="28"/>
        </w:rPr>
      </w:pPr>
      <w:r>
        <w:rPr>
          <w:rFonts w:eastAsia="黑体"/>
          <w:b/>
          <w:sz w:val="28"/>
          <w:szCs w:val="28"/>
        </w:rPr>
        <w:t>4.4.1 现场处置</w:t>
      </w:r>
    </w:p>
    <w:p w14:paraId="6267E9BC">
      <w:pPr>
        <w:spacing w:line="560" w:lineRule="exact"/>
        <w:ind w:firstLine="560" w:firstLineChars="200"/>
        <w:rPr>
          <w:rFonts w:eastAsia="仿宋"/>
          <w:sz w:val="28"/>
          <w:szCs w:val="28"/>
        </w:rPr>
      </w:pPr>
      <w:r>
        <w:rPr>
          <w:rFonts w:eastAsia="仿宋"/>
          <w:sz w:val="28"/>
          <w:szCs w:val="28"/>
        </w:rPr>
        <w:t>（1）事发单位立即启动本单位辐射事故应急响应，采取必要措施，控制或切断污染源。及时主动向现场处置组提供应急救援有关的基础资料，供现场处置组制定救援和处置方案时参考。</w:t>
      </w:r>
    </w:p>
    <w:p w14:paraId="54462908">
      <w:pPr>
        <w:spacing w:line="560" w:lineRule="exact"/>
        <w:ind w:firstLine="560" w:firstLineChars="200"/>
        <w:rPr>
          <w:rFonts w:eastAsia="仿宋"/>
          <w:sz w:val="28"/>
          <w:szCs w:val="28"/>
        </w:rPr>
      </w:pPr>
      <w:r>
        <w:rPr>
          <w:rFonts w:eastAsia="仿宋"/>
          <w:sz w:val="28"/>
          <w:szCs w:val="28"/>
        </w:rPr>
        <w:t>（2）</w:t>
      </w:r>
      <w:r>
        <w:rPr>
          <w:rFonts w:hint="eastAsia" w:eastAsia="仿宋"/>
          <w:sz w:val="28"/>
          <w:szCs w:val="28"/>
        </w:rPr>
        <w:t>吕梁市生态环境局文水分局</w:t>
      </w:r>
      <w:r>
        <w:rPr>
          <w:rFonts w:eastAsia="仿宋"/>
          <w:sz w:val="28"/>
          <w:szCs w:val="28"/>
        </w:rPr>
        <w:t>责令停止导致或者可能导致辐射事故作业，组织控制事故现场。</w:t>
      </w:r>
    </w:p>
    <w:p w14:paraId="374F6829">
      <w:pPr>
        <w:spacing w:line="560" w:lineRule="exact"/>
        <w:ind w:firstLine="560" w:firstLineChars="200"/>
        <w:rPr>
          <w:rFonts w:eastAsia="仿宋"/>
          <w:sz w:val="28"/>
          <w:szCs w:val="28"/>
        </w:rPr>
      </w:pPr>
      <w:r>
        <w:rPr>
          <w:rFonts w:eastAsia="仿宋"/>
          <w:sz w:val="28"/>
          <w:szCs w:val="28"/>
        </w:rPr>
        <w:t>（3）</w:t>
      </w:r>
      <w:r>
        <w:rPr>
          <w:rFonts w:hint="eastAsia" w:eastAsia="仿宋"/>
          <w:sz w:val="28"/>
          <w:szCs w:val="28"/>
        </w:rPr>
        <w:t>县</w:t>
      </w:r>
      <w:r>
        <w:rPr>
          <w:rFonts w:eastAsia="仿宋"/>
          <w:sz w:val="28"/>
          <w:szCs w:val="28"/>
        </w:rPr>
        <w:t>政府组织有关人员和队伍赶赴事发现场，按照本预案和处置规程，相互协同，密切配合，共同实施应对和紧急处置行动。同时，组织有关专家迅速对事故信息进行分析、评估，提出应急处置方案和建议。根据事故进展情况和形势动态，提出相应的对策和意见；对突发辐射事故的危害范围、发展趋势做出科学预测。全力控制事故态势，严防二次污染和次生、衍生事故发生。</w:t>
      </w:r>
    </w:p>
    <w:p w14:paraId="57F97B62">
      <w:pPr>
        <w:spacing w:line="560" w:lineRule="exact"/>
        <w:ind w:firstLine="562"/>
        <w:outlineLvl w:val="2"/>
        <w:rPr>
          <w:rFonts w:eastAsia="黑体"/>
          <w:b/>
          <w:sz w:val="28"/>
          <w:szCs w:val="28"/>
        </w:rPr>
      </w:pPr>
      <w:r>
        <w:rPr>
          <w:rFonts w:eastAsia="黑体"/>
          <w:b/>
          <w:sz w:val="28"/>
          <w:szCs w:val="28"/>
        </w:rPr>
        <w:t>4.4.2 安全防护</w:t>
      </w:r>
    </w:p>
    <w:p w14:paraId="319336F4">
      <w:pPr>
        <w:spacing w:line="560" w:lineRule="exact"/>
        <w:ind w:firstLine="560" w:firstLineChars="200"/>
        <w:rPr>
          <w:rFonts w:eastAsia="仿宋"/>
          <w:sz w:val="28"/>
          <w:szCs w:val="28"/>
        </w:rPr>
      </w:pPr>
      <w:r>
        <w:rPr>
          <w:rFonts w:eastAsia="仿宋"/>
          <w:sz w:val="28"/>
          <w:szCs w:val="28"/>
        </w:rPr>
        <w:t>（1）现场应急工作人员应根据不同类型辐射事故的特点，配备相应的专业防护装备，采取安全防护措施。</w:t>
      </w:r>
    </w:p>
    <w:p w14:paraId="7FE98A2F">
      <w:pPr>
        <w:spacing w:line="560" w:lineRule="exact"/>
        <w:ind w:firstLine="560" w:firstLineChars="200"/>
        <w:rPr>
          <w:rFonts w:eastAsia="仿宋"/>
          <w:sz w:val="28"/>
          <w:szCs w:val="28"/>
        </w:rPr>
      </w:pPr>
      <w:r>
        <w:rPr>
          <w:rFonts w:eastAsia="仿宋"/>
          <w:sz w:val="28"/>
          <w:szCs w:val="28"/>
        </w:rPr>
        <w:t>（2）现场处置组开展公众的安全防护工作：</w:t>
      </w:r>
    </w:p>
    <w:p w14:paraId="443FF0B2">
      <w:pPr>
        <w:spacing w:line="560" w:lineRule="exact"/>
        <w:ind w:firstLine="560" w:firstLineChars="200"/>
        <w:rPr>
          <w:rFonts w:eastAsia="仿宋"/>
          <w:sz w:val="28"/>
          <w:szCs w:val="28"/>
        </w:rPr>
      </w:pPr>
      <w:r>
        <w:rPr>
          <w:rFonts w:eastAsia="仿宋"/>
          <w:sz w:val="28"/>
          <w:szCs w:val="28"/>
        </w:rPr>
        <w:t>①根据辐射事故的性质、特点，</w:t>
      </w:r>
      <w:r>
        <w:rPr>
          <w:rFonts w:hint="eastAsia" w:eastAsia="仿宋"/>
          <w:sz w:val="28"/>
          <w:szCs w:val="28"/>
        </w:rPr>
        <w:t>向县政府</w:t>
      </w:r>
      <w:r>
        <w:rPr>
          <w:rFonts w:eastAsia="仿宋"/>
          <w:sz w:val="28"/>
          <w:szCs w:val="28"/>
        </w:rPr>
        <w:t>提出公众安全防护措施指导意见。</w:t>
      </w:r>
    </w:p>
    <w:p w14:paraId="755FAE4B">
      <w:pPr>
        <w:spacing w:line="560" w:lineRule="exact"/>
        <w:ind w:firstLine="560" w:firstLineChars="200"/>
        <w:rPr>
          <w:rFonts w:eastAsia="仿宋"/>
          <w:sz w:val="28"/>
          <w:szCs w:val="28"/>
        </w:rPr>
      </w:pPr>
      <w:r>
        <w:rPr>
          <w:rFonts w:eastAsia="仿宋"/>
          <w:sz w:val="28"/>
          <w:szCs w:val="28"/>
        </w:rPr>
        <w:t>②根据事发地的气象、地理环境、人员密集度等情况，提出污染范围控制建议，确定公众疏散的方式，指导有关部门组织群众安全疏散撤离。</w:t>
      </w:r>
    </w:p>
    <w:p w14:paraId="1D086088">
      <w:pPr>
        <w:spacing w:line="560" w:lineRule="exact"/>
        <w:ind w:firstLine="560" w:firstLineChars="200"/>
        <w:rPr>
          <w:rFonts w:eastAsia="仿宋"/>
          <w:sz w:val="28"/>
          <w:szCs w:val="28"/>
        </w:rPr>
      </w:pPr>
      <w:r>
        <w:rPr>
          <w:rFonts w:eastAsia="仿宋"/>
          <w:sz w:val="28"/>
          <w:szCs w:val="28"/>
        </w:rPr>
        <w:t>③在事发地安全边界之外，设立紧急避难场所。</w:t>
      </w:r>
    </w:p>
    <w:p w14:paraId="3B07E360">
      <w:pPr>
        <w:spacing w:line="560" w:lineRule="exact"/>
        <w:ind w:firstLine="560" w:firstLineChars="200"/>
        <w:rPr>
          <w:rFonts w:eastAsia="仿宋"/>
          <w:sz w:val="28"/>
          <w:szCs w:val="28"/>
        </w:rPr>
      </w:pPr>
      <w:r>
        <w:rPr>
          <w:rFonts w:eastAsia="仿宋"/>
          <w:sz w:val="28"/>
          <w:szCs w:val="28"/>
        </w:rPr>
        <w:t>④必要时，对易失控的放射源实施收贮。</w:t>
      </w:r>
    </w:p>
    <w:p w14:paraId="0A136D26">
      <w:pPr>
        <w:spacing w:line="560" w:lineRule="exact"/>
        <w:ind w:firstLine="562"/>
        <w:outlineLvl w:val="2"/>
        <w:rPr>
          <w:rFonts w:eastAsia="黑体"/>
          <w:b/>
          <w:sz w:val="28"/>
          <w:szCs w:val="28"/>
        </w:rPr>
      </w:pPr>
      <w:r>
        <w:rPr>
          <w:rFonts w:eastAsia="黑体"/>
          <w:b/>
          <w:sz w:val="28"/>
          <w:szCs w:val="28"/>
        </w:rPr>
        <w:t>4.4.3 医学救援</w:t>
      </w:r>
    </w:p>
    <w:p w14:paraId="1F71086B">
      <w:pPr>
        <w:spacing w:line="560" w:lineRule="exact"/>
        <w:ind w:firstLine="560" w:firstLineChars="200"/>
        <w:rPr>
          <w:rFonts w:eastAsia="仿宋"/>
          <w:sz w:val="28"/>
          <w:szCs w:val="28"/>
        </w:rPr>
      </w:pPr>
      <w:r>
        <w:rPr>
          <w:rFonts w:eastAsia="仿宋"/>
          <w:sz w:val="28"/>
          <w:szCs w:val="28"/>
        </w:rPr>
        <w:t>对可能受到辐射损伤的人员，应当立即送至具备救治辐射损伤人员能力及条件的医疗机构进行检查和治疗，或者报请</w:t>
      </w:r>
      <w:r>
        <w:rPr>
          <w:rFonts w:hint="eastAsia" w:eastAsia="仿宋"/>
          <w:sz w:val="28"/>
          <w:szCs w:val="28"/>
        </w:rPr>
        <w:t>县</w:t>
      </w:r>
      <w:r>
        <w:rPr>
          <w:rFonts w:eastAsia="仿宋"/>
          <w:sz w:val="28"/>
          <w:szCs w:val="28"/>
        </w:rPr>
        <w:t>政府及</w:t>
      </w:r>
      <w:r>
        <w:rPr>
          <w:rFonts w:hint="eastAsia" w:eastAsia="仿宋"/>
          <w:sz w:val="28"/>
          <w:szCs w:val="28"/>
        </w:rPr>
        <w:t>县卫生健康和体育局</w:t>
      </w:r>
      <w:r>
        <w:rPr>
          <w:rFonts w:eastAsia="仿宋"/>
          <w:sz w:val="28"/>
          <w:szCs w:val="28"/>
        </w:rPr>
        <w:t>协调相关医疗卫生机构派出专业人员赶赴事故现场，采取紧急医学救援措施。</w:t>
      </w:r>
    </w:p>
    <w:p w14:paraId="5CE90977">
      <w:pPr>
        <w:spacing w:line="560" w:lineRule="exact"/>
        <w:ind w:firstLine="562"/>
        <w:outlineLvl w:val="2"/>
        <w:rPr>
          <w:rFonts w:eastAsia="黑体"/>
          <w:b/>
          <w:sz w:val="28"/>
          <w:szCs w:val="28"/>
        </w:rPr>
      </w:pPr>
      <w:r>
        <w:rPr>
          <w:rFonts w:eastAsia="黑体"/>
          <w:b/>
          <w:sz w:val="28"/>
          <w:szCs w:val="28"/>
        </w:rPr>
        <w:t>4.4.4 应急监测</w:t>
      </w:r>
    </w:p>
    <w:p w14:paraId="615B153E">
      <w:pPr>
        <w:spacing w:line="560" w:lineRule="exact"/>
        <w:ind w:firstLine="560" w:firstLineChars="200"/>
        <w:rPr>
          <w:rFonts w:eastAsia="仿宋"/>
          <w:sz w:val="28"/>
          <w:szCs w:val="28"/>
        </w:rPr>
      </w:pPr>
      <w:r>
        <w:rPr>
          <w:rFonts w:eastAsia="仿宋"/>
          <w:sz w:val="28"/>
          <w:szCs w:val="28"/>
        </w:rPr>
        <w:t>应急监测由技术组负责</w:t>
      </w:r>
      <w:r>
        <w:rPr>
          <w:rFonts w:hint="eastAsia" w:eastAsia="仿宋"/>
          <w:sz w:val="28"/>
          <w:szCs w:val="28"/>
        </w:rPr>
        <w:t>组织实施辐射环境应急监测工作。</w:t>
      </w:r>
    </w:p>
    <w:p w14:paraId="253922FB">
      <w:pPr>
        <w:spacing w:line="560" w:lineRule="exact"/>
        <w:ind w:firstLine="560" w:firstLineChars="200"/>
        <w:rPr>
          <w:rFonts w:eastAsia="仿宋"/>
          <w:sz w:val="28"/>
          <w:szCs w:val="28"/>
        </w:rPr>
      </w:pPr>
      <w:r>
        <w:rPr>
          <w:rFonts w:eastAsia="仿宋"/>
          <w:sz w:val="28"/>
          <w:szCs w:val="28"/>
        </w:rPr>
        <w:t>根据监测结果，确定污染范围，提供监测数据，综合分析辐射事故污染变化趋势，并通过专家咨询和讨论的方式，预测并报告辐射事故的发展趋势和污染物的变化情况，作为辐射事故应急决策的依据。必要时，请求</w:t>
      </w:r>
      <w:r>
        <w:rPr>
          <w:rFonts w:hint="eastAsia" w:eastAsia="仿宋"/>
          <w:sz w:val="28"/>
          <w:szCs w:val="28"/>
        </w:rPr>
        <w:t>吕梁</w:t>
      </w:r>
      <w:r>
        <w:rPr>
          <w:rFonts w:eastAsia="仿宋"/>
          <w:sz w:val="28"/>
          <w:szCs w:val="28"/>
        </w:rPr>
        <w:t>市</w:t>
      </w:r>
      <w:r>
        <w:rPr>
          <w:rFonts w:hint="eastAsia" w:eastAsia="仿宋"/>
          <w:sz w:val="28"/>
          <w:szCs w:val="28"/>
        </w:rPr>
        <w:t>生态环境监测中心、山西省生态环境监测</w:t>
      </w:r>
      <w:r>
        <w:rPr>
          <w:rFonts w:eastAsia="仿宋"/>
          <w:sz w:val="28"/>
          <w:szCs w:val="28"/>
        </w:rPr>
        <w:t>和应急保障中心等部门提供应急监测技术支援。</w:t>
      </w:r>
    </w:p>
    <w:p w14:paraId="572F8272">
      <w:pPr>
        <w:spacing w:line="560" w:lineRule="exact"/>
        <w:ind w:firstLine="562"/>
        <w:outlineLvl w:val="2"/>
        <w:rPr>
          <w:rFonts w:eastAsia="黑体"/>
          <w:b/>
          <w:sz w:val="28"/>
          <w:szCs w:val="28"/>
        </w:rPr>
      </w:pPr>
      <w:r>
        <w:rPr>
          <w:rFonts w:eastAsia="黑体"/>
          <w:b/>
          <w:sz w:val="28"/>
          <w:szCs w:val="28"/>
        </w:rPr>
        <w:t>4.4.5 信息发布</w:t>
      </w:r>
    </w:p>
    <w:p w14:paraId="0367D5FE">
      <w:pPr>
        <w:keepNext w:val="0"/>
        <w:keepLines w:val="0"/>
        <w:pageBreakBefore w:val="0"/>
        <w:widowControl w:val="0"/>
        <w:kinsoku/>
        <w:wordWrap/>
        <w:overflowPunct/>
        <w:topLinePunct w:val="0"/>
        <w:autoSpaceDE/>
        <w:autoSpaceDN/>
        <w:bidi w:val="0"/>
        <w:adjustRightInd/>
        <w:snapToGrid/>
        <w:spacing w:line="600" w:lineRule="exact"/>
        <w:ind w:firstLine="601"/>
        <w:textAlignment w:val="auto"/>
        <w:outlineLvl w:val="9"/>
        <w:rPr>
          <w:rFonts w:hint="eastAsia" w:eastAsia="仿宋"/>
          <w:sz w:val="28"/>
          <w:szCs w:val="28"/>
        </w:rPr>
      </w:pPr>
      <w:bookmarkStart w:id="46" w:name="_Toc8825"/>
      <w:bookmarkStart w:id="47" w:name="_Toc4421"/>
      <w:r>
        <w:rPr>
          <w:rFonts w:hint="eastAsia" w:eastAsia="仿宋"/>
          <w:sz w:val="28"/>
          <w:szCs w:val="28"/>
        </w:rPr>
        <w:t>县指挥部根据辐射事故的性质和级别，由县宣传部门及时统一发布准确、权威的辐射事故信息。</w:t>
      </w:r>
    </w:p>
    <w:p w14:paraId="38C3C211">
      <w:pPr>
        <w:spacing w:line="600" w:lineRule="exact"/>
        <w:ind w:firstLine="600"/>
        <w:outlineLvl w:val="1"/>
        <w:rPr>
          <w:rFonts w:eastAsia="黑体"/>
          <w:sz w:val="30"/>
          <w:szCs w:val="30"/>
        </w:rPr>
      </w:pPr>
      <w:bookmarkStart w:id="48" w:name="_Toc24185"/>
      <w:r>
        <w:rPr>
          <w:rFonts w:eastAsia="黑体"/>
          <w:sz w:val="30"/>
          <w:szCs w:val="30"/>
        </w:rPr>
        <w:t>4.5 响应终止</w:t>
      </w:r>
      <w:bookmarkEnd w:id="46"/>
      <w:bookmarkEnd w:id="47"/>
      <w:bookmarkEnd w:id="48"/>
    </w:p>
    <w:p w14:paraId="4F71431E">
      <w:pPr>
        <w:spacing w:line="560" w:lineRule="exact"/>
        <w:ind w:firstLine="560" w:firstLineChars="200"/>
        <w:rPr>
          <w:rFonts w:eastAsia="仿宋"/>
          <w:sz w:val="28"/>
          <w:szCs w:val="28"/>
        </w:rPr>
      </w:pPr>
      <w:r>
        <w:rPr>
          <w:rFonts w:eastAsia="仿宋"/>
          <w:sz w:val="28"/>
          <w:szCs w:val="28"/>
        </w:rPr>
        <w:t>当具备下列条件时，由启动响应的应急指挥机构终止应急响应。</w:t>
      </w:r>
    </w:p>
    <w:p w14:paraId="63549A19">
      <w:pPr>
        <w:spacing w:line="560" w:lineRule="exact"/>
        <w:ind w:firstLine="560" w:firstLineChars="200"/>
        <w:rPr>
          <w:rFonts w:eastAsia="仿宋"/>
          <w:sz w:val="28"/>
          <w:szCs w:val="28"/>
        </w:rPr>
      </w:pPr>
      <w:r>
        <w:rPr>
          <w:rFonts w:eastAsia="仿宋"/>
          <w:sz w:val="28"/>
          <w:szCs w:val="28"/>
        </w:rPr>
        <w:t>（1）环境放射性水平已降至国家规定的限值以内。</w:t>
      </w:r>
    </w:p>
    <w:p w14:paraId="29DBF1EF">
      <w:pPr>
        <w:spacing w:line="560" w:lineRule="exact"/>
        <w:ind w:firstLine="560" w:firstLineChars="200"/>
        <w:rPr>
          <w:rFonts w:eastAsia="仿宋"/>
          <w:sz w:val="28"/>
          <w:szCs w:val="28"/>
        </w:rPr>
      </w:pPr>
      <w:r>
        <w:rPr>
          <w:rFonts w:eastAsia="仿宋"/>
          <w:sz w:val="28"/>
          <w:szCs w:val="28"/>
        </w:rPr>
        <w:t>（2）辐射事故所造成的危害已消除或可控。</w:t>
      </w:r>
    </w:p>
    <w:p w14:paraId="4C5AC59B">
      <w:pPr>
        <w:pStyle w:val="7"/>
        <w:spacing w:before="0" w:beforeAutospacing="0" w:after="0" w:afterAutospacing="0"/>
        <w:ind w:firstLine="560" w:firstLineChars="20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（3）事故现场的各种专业应急处置行动已无继续必要。</w:t>
      </w:r>
    </w:p>
    <w:p w14:paraId="5B6B29FF">
      <w:pPr>
        <w:spacing w:line="560" w:lineRule="exact"/>
        <w:ind w:firstLine="640"/>
        <w:outlineLvl w:val="0"/>
        <w:rPr>
          <w:rFonts w:eastAsia="黑体"/>
          <w:sz w:val="32"/>
          <w:szCs w:val="32"/>
        </w:rPr>
      </w:pPr>
      <w:bookmarkStart w:id="49" w:name="_Toc18101"/>
      <w:bookmarkStart w:id="50" w:name="_Toc22648"/>
      <w:r>
        <w:rPr>
          <w:rFonts w:eastAsia="黑体"/>
          <w:sz w:val="32"/>
          <w:szCs w:val="32"/>
        </w:rPr>
        <w:t>5 后期处置</w:t>
      </w:r>
      <w:bookmarkEnd w:id="49"/>
      <w:bookmarkEnd w:id="50"/>
    </w:p>
    <w:p w14:paraId="71EF8E2A">
      <w:pPr>
        <w:spacing w:line="600" w:lineRule="exact"/>
        <w:ind w:firstLine="600"/>
        <w:outlineLvl w:val="1"/>
        <w:rPr>
          <w:rFonts w:eastAsia="黑体"/>
          <w:sz w:val="30"/>
          <w:szCs w:val="30"/>
        </w:rPr>
      </w:pPr>
      <w:bookmarkStart w:id="51" w:name="_Toc267917348"/>
      <w:bookmarkStart w:id="52" w:name="_Toc10584"/>
      <w:bookmarkStart w:id="53" w:name="_Toc31347"/>
      <w:r>
        <w:rPr>
          <w:rFonts w:eastAsia="黑体"/>
          <w:sz w:val="30"/>
          <w:szCs w:val="30"/>
        </w:rPr>
        <w:t xml:space="preserve">5.1 </w:t>
      </w:r>
      <w:bookmarkEnd w:id="51"/>
      <w:r>
        <w:rPr>
          <w:rFonts w:eastAsia="黑体"/>
          <w:sz w:val="30"/>
          <w:szCs w:val="30"/>
        </w:rPr>
        <w:t>应急响应终止后的行动</w:t>
      </w:r>
      <w:bookmarkEnd w:id="52"/>
      <w:bookmarkEnd w:id="53"/>
    </w:p>
    <w:p w14:paraId="3CC5417D">
      <w:pPr>
        <w:spacing w:line="560" w:lineRule="exact"/>
        <w:ind w:firstLine="560" w:firstLineChars="200"/>
        <w:rPr>
          <w:rFonts w:eastAsia="仿宋"/>
          <w:sz w:val="28"/>
          <w:szCs w:val="28"/>
        </w:rPr>
      </w:pPr>
      <w:r>
        <w:rPr>
          <w:rFonts w:eastAsia="仿宋"/>
          <w:sz w:val="28"/>
          <w:szCs w:val="28"/>
        </w:rPr>
        <w:t>（1）对丢失、被盗放射源的辐射事故，从接到报案或者检查发现之日起半年内，仍未追回放射源或仍未查清下落的，由负责立案侦查的公安</w:t>
      </w:r>
      <w:r>
        <w:rPr>
          <w:rFonts w:hint="eastAsia" w:eastAsia="仿宋"/>
          <w:sz w:val="28"/>
          <w:szCs w:val="28"/>
        </w:rPr>
        <w:t>机关</w:t>
      </w:r>
      <w:r>
        <w:rPr>
          <w:rFonts w:eastAsia="仿宋"/>
          <w:sz w:val="28"/>
          <w:szCs w:val="28"/>
        </w:rPr>
        <w:t>做出阶段报告，并提交给</w:t>
      </w:r>
      <w:r>
        <w:rPr>
          <w:rFonts w:hint="eastAsia" w:eastAsia="仿宋"/>
          <w:sz w:val="28"/>
          <w:szCs w:val="28"/>
        </w:rPr>
        <w:t>吕梁市</w:t>
      </w:r>
      <w:r>
        <w:rPr>
          <w:rFonts w:eastAsia="仿宋"/>
          <w:sz w:val="28"/>
          <w:szCs w:val="28"/>
        </w:rPr>
        <w:t>辐射事故应急指挥机构和</w:t>
      </w:r>
      <w:r>
        <w:rPr>
          <w:rFonts w:hint="eastAsia" w:eastAsia="仿宋"/>
          <w:sz w:val="28"/>
          <w:szCs w:val="28"/>
        </w:rPr>
        <w:t>省</w:t>
      </w:r>
      <w:r>
        <w:rPr>
          <w:rFonts w:eastAsia="仿宋"/>
          <w:sz w:val="28"/>
          <w:szCs w:val="28"/>
        </w:rPr>
        <w:t>指挥部办公室。</w:t>
      </w:r>
    </w:p>
    <w:p w14:paraId="02A16C8E">
      <w:pPr>
        <w:spacing w:line="560" w:lineRule="exact"/>
        <w:ind w:firstLine="560" w:firstLineChars="200"/>
        <w:rPr>
          <w:rFonts w:eastAsia="仿宋"/>
          <w:sz w:val="28"/>
          <w:szCs w:val="28"/>
        </w:rPr>
      </w:pPr>
      <w:r>
        <w:rPr>
          <w:rFonts w:eastAsia="仿宋"/>
          <w:sz w:val="28"/>
          <w:szCs w:val="28"/>
        </w:rPr>
        <w:t>（2）对造成环境污染的辐射事故，</w:t>
      </w:r>
      <w:r>
        <w:rPr>
          <w:rFonts w:hint="eastAsia" w:eastAsia="仿宋"/>
          <w:sz w:val="28"/>
          <w:szCs w:val="28"/>
        </w:rPr>
        <w:t>吕梁</w:t>
      </w:r>
      <w:r>
        <w:rPr>
          <w:rFonts w:eastAsia="仿宋"/>
          <w:sz w:val="28"/>
          <w:szCs w:val="28"/>
        </w:rPr>
        <w:t>市生态环境局</w:t>
      </w:r>
      <w:r>
        <w:rPr>
          <w:rFonts w:hint="eastAsia" w:eastAsia="仿宋"/>
          <w:sz w:val="28"/>
          <w:szCs w:val="28"/>
        </w:rPr>
        <w:t>文水分局</w:t>
      </w:r>
      <w:r>
        <w:rPr>
          <w:rFonts w:eastAsia="仿宋"/>
          <w:sz w:val="28"/>
          <w:szCs w:val="28"/>
        </w:rPr>
        <w:t>对辐射污染场地清理、放射性废物处理、后续的辐射环境监测、辐射污染环境恢复等提出对策和措施。</w:t>
      </w:r>
    </w:p>
    <w:p w14:paraId="6C435E0C">
      <w:pPr>
        <w:spacing w:line="600" w:lineRule="exact"/>
        <w:ind w:firstLine="600"/>
        <w:outlineLvl w:val="1"/>
        <w:rPr>
          <w:rFonts w:eastAsia="黑体"/>
          <w:sz w:val="30"/>
          <w:szCs w:val="30"/>
        </w:rPr>
      </w:pPr>
      <w:bookmarkStart w:id="54" w:name="_Toc18004"/>
      <w:bookmarkStart w:id="55" w:name="_Toc8394"/>
      <w:r>
        <w:rPr>
          <w:rFonts w:eastAsia="黑体"/>
          <w:sz w:val="30"/>
          <w:szCs w:val="30"/>
        </w:rPr>
        <w:t>5.2 善后处置</w:t>
      </w:r>
      <w:bookmarkEnd w:id="54"/>
      <w:bookmarkEnd w:id="55"/>
      <w:r>
        <w:rPr>
          <w:rFonts w:eastAsia="黑体"/>
          <w:sz w:val="30"/>
          <w:szCs w:val="30"/>
        </w:rPr>
        <w:t xml:space="preserve"> </w:t>
      </w:r>
    </w:p>
    <w:p w14:paraId="4D68DB24">
      <w:pPr>
        <w:spacing w:line="560" w:lineRule="exact"/>
        <w:ind w:firstLine="560" w:firstLineChars="200"/>
        <w:rPr>
          <w:rFonts w:eastAsia="仿宋"/>
          <w:sz w:val="28"/>
          <w:szCs w:val="28"/>
        </w:rPr>
      </w:pPr>
      <w:bookmarkStart w:id="56" w:name="_Toc267917349"/>
      <w:r>
        <w:rPr>
          <w:rFonts w:eastAsia="仿宋"/>
          <w:sz w:val="28"/>
          <w:szCs w:val="28"/>
        </w:rPr>
        <w:t>由</w:t>
      </w:r>
      <w:r>
        <w:rPr>
          <w:rFonts w:hint="eastAsia" w:eastAsia="仿宋"/>
          <w:sz w:val="28"/>
          <w:szCs w:val="28"/>
        </w:rPr>
        <w:t>县</w:t>
      </w:r>
      <w:r>
        <w:rPr>
          <w:rFonts w:eastAsia="仿宋"/>
          <w:sz w:val="28"/>
          <w:szCs w:val="28"/>
        </w:rPr>
        <w:t>政府负责组织实施辐射事故的善后处置工作。善后处置包括人员安置补偿、征用物资补偿、受污染环境恢复等。</w:t>
      </w:r>
    </w:p>
    <w:p w14:paraId="0C134768">
      <w:pPr>
        <w:spacing w:line="600" w:lineRule="exact"/>
        <w:ind w:firstLine="600"/>
        <w:outlineLvl w:val="1"/>
        <w:rPr>
          <w:rFonts w:eastAsia="黑体"/>
          <w:sz w:val="30"/>
          <w:szCs w:val="30"/>
        </w:rPr>
      </w:pPr>
      <w:bookmarkStart w:id="57" w:name="_Toc16480"/>
      <w:bookmarkStart w:id="58" w:name="_Toc7137"/>
      <w:r>
        <w:rPr>
          <w:rFonts w:eastAsia="黑体"/>
          <w:sz w:val="30"/>
          <w:szCs w:val="30"/>
        </w:rPr>
        <w:t xml:space="preserve">5.3 </w:t>
      </w:r>
      <w:bookmarkEnd w:id="56"/>
      <w:r>
        <w:rPr>
          <w:rFonts w:eastAsia="黑体"/>
          <w:sz w:val="30"/>
          <w:szCs w:val="30"/>
        </w:rPr>
        <w:t>总结评估</w:t>
      </w:r>
      <w:bookmarkEnd w:id="57"/>
      <w:bookmarkEnd w:id="58"/>
    </w:p>
    <w:p w14:paraId="2C0C8812">
      <w:pPr>
        <w:spacing w:line="560" w:lineRule="exact"/>
        <w:ind w:firstLine="560" w:firstLineChars="200"/>
        <w:rPr>
          <w:rFonts w:eastAsia="仿宋"/>
          <w:sz w:val="28"/>
          <w:szCs w:val="28"/>
        </w:rPr>
      </w:pPr>
      <w:r>
        <w:rPr>
          <w:rFonts w:eastAsia="仿宋"/>
          <w:sz w:val="28"/>
          <w:szCs w:val="28"/>
        </w:rPr>
        <w:t>（1）</w:t>
      </w:r>
      <w:r>
        <w:rPr>
          <w:rFonts w:hint="eastAsia" w:eastAsia="仿宋"/>
          <w:sz w:val="28"/>
          <w:szCs w:val="28"/>
        </w:rPr>
        <w:t>县</w:t>
      </w:r>
      <w:r>
        <w:rPr>
          <w:rFonts w:eastAsia="仿宋"/>
          <w:sz w:val="28"/>
          <w:szCs w:val="28"/>
        </w:rPr>
        <w:t>指挥部指导有关部门及事故责任单位查出原因，防止类似事故的发生。</w:t>
      </w:r>
    </w:p>
    <w:p w14:paraId="7E6655B7">
      <w:pPr>
        <w:spacing w:line="560" w:lineRule="exact"/>
        <w:ind w:firstLine="560" w:firstLineChars="200"/>
        <w:rPr>
          <w:rFonts w:eastAsia="仿宋"/>
          <w:sz w:val="28"/>
          <w:szCs w:val="28"/>
        </w:rPr>
      </w:pPr>
      <w:r>
        <w:rPr>
          <w:rFonts w:eastAsia="仿宋"/>
          <w:sz w:val="28"/>
          <w:szCs w:val="28"/>
        </w:rPr>
        <w:t>（2）</w:t>
      </w:r>
      <w:r>
        <w:rPr>
          <w:rFonts w:hint="eastAsia" w:eastAsia="仿宋"/>
          <w:sz w:val="28"/>
          <w:szCs w:val="28"/>
        </w:rPr>
        <w:t>县</w:t>
      </w:r>
      <w:r>
        <w:rPr>
          <w:rFonts w:eastAsia="仿宋"/>
          <w:sz w:val="28"/>
          <w:szCs w:val="28"/>
        </w:rPr>
        <w:t>指挥部组织有关部门和技术组，评价应急期间所采取的行动并进行总结，1个月内将总结报告报</w:t>
      </w:r>
      <w:r>
        <w:rPr>
          <w:rFonts w:hint="eastAsia" w:eastAsia="仿宋"/>
          <w:sz w:val="28"/>
          <w:szCs w:val="28"/>
        </w:rPr>
        <w:t>县</w:t>
      </w:r>
      <w:r>
        <w:rPr>
          <w:rFonts w:eastAsia="仿宋"/>
          <w:sz w:val="28"/>
          <w:szCs w:val="28"/>
        </w:rPr>
        <w:t>政府和上级有关部门。</w:t>
      </w:r>
    </w:p>
    <w:p w14:paraId="6833DA02">
      <w:pPr>
        <w:spacing w:line="560" w:lineRule="exact"/>
        <w:ind w:firstLine="560" w:firstLineChars="200"/>
        <w:rPr>
          <w:rFonts w:eastAsia="仿宋"/>
          <w:sz w:val="28"/>
          <w:szCs w:val="28"/>
        </w:rPr>
      </w:pPr>
      <w:r>
        <w:rPr>
          <w:rFonts w:eastAsia="仿宋"/>
          <w:sz w:val="28"/>
          <w:szCs w:val="28"/>
        </w:rPr>
        <w:t>（3）根据实践经验，</w:t>
      </w:r>
      <w:r>
        <w:rPr>
          <w:rFonts w:hint="eastAsia" w:eastAsia="仿宋"/>
          <w:sz w:val="28"/>
          <w:szCs w:val="28"/>
        </w:rPr>
        <w:t>县</w:t>
      </w:r>
      <w:r>
        <w:rPr>
          <w:rFonts w:eastAsia="仿宋"/>
          <w:sz w:val="28"/>
          <w:szCs w:val="28"/>
        </w:rPr>
        <w:t>指挥</w:t>
      </w:r>
      <w:r>
        <w:rPr>
          <w:rFonts w:hint="eastAsia" w:eastAsia="仿宋"/>
          <w:sz w:val="28"/>
          <w:szCs w:val="28"/>
        </w:rPr>
        <w:t>部</w:t>
      </w:r>
      <w:r>
        <w:rPr>
          <w:rFonts w:eastAsia="仿宋"/>
          <w:sz w:val="28"/>
          <w:szCs w:val="28"/>
        </w:rPr>
        <w:t>办公室对本预案进行评估，并及时修订预案。</w:t>
      </w:r>
    </w:p>
    <w:p w14:paraId="74B63A54">
      <w:pPr>
        <w:spacing w:line="560" w:lineRule="exact"/>
        <w:ind w:firstLine="640"/>
        <w:outlineLvl w:val="0"/>
        <w:rPr>
          <w:rFonts w:eastAsia="黑体"/>
          <w:sz w:val="32"/>
          <w:szCs w:val="32"/>
        </w:rPr>
      </w:pPr>
      <w:bookmarkStart w:id="59" w:name="_Toc25641"/>
      <w:bookmarkStart w:id="60" w:name="_Toc17277"/>
      <w:r>
        <w:rPr>
          <w:rFonts w:eastAsia="黑体"/>
          <w:sz w:val="32"/>
          <w:szCs w:val="32"/>
        </w:rPr>
        <w:t>6 保障措施</w:t>
      </w:r>
      <w:bookmarkEnd w:id="59"/>
      <w:bookmarkEnd w:id="60"/>
    </w:p>
    <w:p w14:paraId="07E59E41">
      <w:pPr>
        <w:spacing w:line="560" w:lineRule="exact"/>
        <w:ind w:firstLine="560" w:firstLineChars="200"/>
        <w:rPr>
          <w:rFonts w:eastAsia="仿宋"/>
          <w:sz w:val="28"/>
          <w:szCs w:val="28"/>
        </w:rPr>
      </w:pPr>
      <w:r>
        <w:rPr>
          <w:rFonts w:eastAsia="仿宋"/>
          <w:sz w:val="28"/>
          <w:szCs w:val="28"/>
        </w:rPr>
        <w:t>辐射事故指挥体系各相关单位应根据本预案规定的职责，结合辐射事故应急准备与响应实际工作需要，做好保障工作，保证辐射事故应急响应工作的顺利进行。</w:t>
      </w:r>
    </w:p>
    <w:p w14:paraId="6E3A1ED8">
      <w:pPr>
        <w:spacing w:line="600" w:lineRule="exact"/>
        <w:ind w:firstLine="600"/>
        <w:outlineLvl w:val="1"/>
        <w:rPr>
          <w:rFonts w:eastAsia="黑体"/>
          <w:sz w:val="30"/>
          <w:szCs w:val="30"/>
        </w:rPr>
      </w:pPr>
      <w:bookmarkStart w:id="61" w:name="_Toc1912"/>
      <w:bookmarkStart w:id="62" w:name="_Toc1338"/>
      <w:r>
        <w:rPr>
          <w:rFonts w:eastAsia="黑体"/>
          <w:sz w:val="30"/>
          <w:szCs w:val="30"/>
        </w:rPr>
        <w:t>6.1 资金保障</w:t>
      </w:r>
      <w:bookmarkEnd w:id="61"/>
      <w:bookmarkEnd w:id="62"/>
    </w:p>
    <w:p w14:paraId="383A8568">
      <w:pPr>
        <w:spacing w:line="560" w:lineRule="exact"/>
        <w:ind w:firstLine="560" w:firstLineChars="200"/>
        <w:rPr>
          <w:rFonts w:eastAsia="仿宋"/>
          <w:sz w:val="28"/>
          <w:szCs w:val="28"/>
        </w:rPr>
      </w:pPr>
      <w:r>
        <w:rPr>
          <w:rFonts w:eastAsia="仿宋"/>
          <w:sz w:val="28"/>
          <w:szCs w:val="28"/>
        </w:rPr>
        <w:t>提出项目支出预算报财政部门审批后执行，确保日常应急准备与响应期间的资金需要，监管和评估应急保障资金的使用和效果。</w:t>
      </w:r>
    </w:p>
    <w:p w14:paraId="5916238A">
      <w:pPr>
        <w:spacing w:line="600" w:lineRule="exact"/>
        <w:ind w:firstLine="600"/>
        <w:outlineLvl w:val="1"/>
        <w:rPr>
          <w:rFonts w:eastAsia="黑体"/>
          <w:sz w:val="30"/>
          <w:szCs w:val="30"/>
        </w:rPr>
      </w:pPr>
      <w:bookmarkStart w:id="63" w:name="_Toc30271"/>
      <w:bookmarkStart w:id="64" w:name="_Toc15045"/>
      <w:r>
        <w:rPr>
          <w:rFonts w:eastAsia="黑体"/>
          <w:sz w:val="30"/>
          <w:szCs w:val="30"/>
        </w:rPr>
        <w:t>6.2 物资装备保障</w:t>
      </w:r>
      <w:bookmarkEnd w:id="63"/>
      <w:bookmarkEnd w:id="64"/>
    </w:p>
    <w:p w14:paraId="17A0E0F6">
      <w:pPr>
        <w:spacing w:line="560" w:lineRule="exact"/>
        <w:ind w:firstLine="560" w:firstLineChars="200"/>
        <w:rPr>
          <w:rFonts w:eastAsia="仿宋"/>
          <w:sz w:val="28"/>
          <w:szCs w:val="28"/>
        </w:rPr>
      </w:pPr>
      <w:r>
        <w:rPr>
          <w:rFonts w:eastAsia="仿宋"/>
          <w:sz w:val="28"/>
          <w:szCs w:val="28"/>
        </w:rPr>
        <w:t>配置相应的技术装备、安全防护用品和有关物资，保证应急设备和物资始终处于良好备用状态，定期保养、检验和清点应急设备和物资。</w:t>
      </w:r>
    </w:p>
    <w:p w14:paraId="61692A97">
      <w:pPr>
        <w:spacing w:line="600" w:lineRule="exact"/>
        <w:ind w:firstLine="600"/>
        <w:outlineLvl w:val="1"/>
        <w:rPr>
          <w:rFonts w:eastAsia="黑体"/>
          <w:sz w:val="30"/>
          <w:szCs w:val="30"/>
        </w:rPr>
      </w:pPr>
      <w:bookmarkStart w:id="65" w:name="_Toc11663"/>
      <w:bookmarkStart w:id="66" w:name="_Toc8373"/>
      <w:r>
        <w:rPr>
          <w:rFonts w:eastAsia="黑体"/>
          <w:sz w:val="30"/>
          <w:szCs w:val="30"/>
        </w:rPr>
        <w:t>6.3 通信保障</w:t>
      </w:r>
      <w:bookmarkEnd w:id="65"/>
      <w:bookmarkEnd w:id="66"/>
    </w:p>
    <w:p w14:paraId="287AB753">
      <w:pPr>
        <w:spacing w:line="560" w:lineRule="exact"/>
        <w:ind w:firstLine="560" w:firstLineChars="200"/>
        <w:rPr>
          <w:sz w:val="28"/>
          <w:szCs w:val="28"/>
        </w:rPr>
      </w:pPr>
      <w:r>
        <w:rPr>
          <w:rFonts w:eastAsia="仿宋"/>
          <w:sz w:val="28"/>
          <w:szCs w:val="28"/>
        </w:rPr>
        <w:t>建立和完善应急指挥通信联络系统，确保指挥部和有关部门、各专业应急处置机构、技术组间的联络畅通</w:t>
      </w:r>
      <w:r>
        <w:rPr>
          <w:sz w:val="28"/>
          <w:szCs w:val="28"/>
        </w:rPr>
        <w:t>。</w:t>
      </w:r>
    </w:p>
    <w:p w14:paraId="428CA394">
      <w:pPr>
        <w:spacing w:line="600" w:lineRule="exact"/>
        <w:ind w:firstLine="600"/>
        <w:outlineLvl w:val="1"/>
        <w:rPr>
          <w:rFonts w:eastAsia="黑体"/>
          <w:sz w:val="30"/>
          <w:szCs w:val="30"/>
        </w:rPr>
      </w:pPr>
      <w:bookmarkStart w:id="67" w:name="_Toc31281"/>
      <w:bookmarkStart w:id="68" w:name="_Toc20431"/>
      <w:r>
        <w:rPr>
          <w:rFonts w:eastAsia="黑体"/>
          <w:sz w:val="30"/>
          <w:szCs w:val="30"/>
        </w:rPr>
        <w:t xml:space="preserve">6.4 </w:t>
      </w:r>
      <w:r>
        <w:rPr>
          <w:rFonts w:hint="eastAsia" w:eastAsia="黑体"/>
          <w:sz w:val="30"/>
          <w:szCs w:val="30"/>
        </w:rPr>
        <w:t>技术保障</w:t>
      </w:r>
      <w:bookmarkEnd w:id="67"/>
      <w:bookmarkEnd w:id="68"/>
    </w:p>
    <w:p w14:paraId="5AD31F24">
      <w:pPr>
        <w:spacing w:line="560" w:lineRule="exact"/>
        <w:ind w:firstLine="560" w:firstLineChars="200"/>
        <w:rPr>
          <w:rFonts w:eastAsia="仿宋"/>
          <w:sz w:val="28"/>
          <w:szCs w:val="28"/>
        </w:rPr>
      </w:pPr>
      <w:r>
        <w:rPr>
          <w:rFonts w:eastAsia="仿宋"/>
          <w:sz w:val="28"/>
          <w:szCs w:val="28"/>
        </w:rPr>
        <w:t>建立辐射事故预警系统，组建技术组，确保在启动预警前、事故发生后相关专家能迅速到位，为指挥决策提供服务。建立辐射事故应急数据库，建立健全的辐射事故应急队伍</w:t>
      </w:r>
      <w:r>
        <w:rPr>
          <w:rFonts w:hint="eastAsia" w:eastAsia="仿宋"/>
          <w:sz w:val="28"/>
          <w:szCs w:val="28"/>
        </w:rPr>
        <w:t>。</w:t>
      </w:r>
    </w:p>
    <w:p w14:paraId="2428BF8D">
      <w:pPr>
        <w:spacing w:line="600" w:lineRule="exact"/>
        <w:ind w:firstLine="600"/>
        <w:outlineLvl w:val="1"/>
        <w:rPr>
          <w:rFonts w:eastAsia="黑体"/>
          <w:sz w:val="30"/>
          <w:szCs w:val="30"/>
        </w:rPr>
      </w:pPr>
      <w:bookmarkStart w:id="69" w:name="_Toc11984"/>
      <w:bookmarkStart w:id="70" w:name="_Toc22307"/>
      <w:r>
        <w:rPr>
          <w:rFonts w:eastAsia="黑体"/>
          <w:sz w:val="30"/>
          <w:szCs w:val="30"/>
        </w:rPr>
        <w:t xml:space="preserve">6.5 </w:t>
      </w:r>
      <w:r>
        <w:rPr>
          <w:rFonts w:hint="eastAsia" w:eastAsia="黑体"/>
          <w:sz w:val="30"/>
          <w:szCs w:val="30"/>
        </w:rPr>
        <w:t>应急能力的保障</w:t>
      </w:r>
      <w:bookmarkEnd w:id="69"/>
      <w:bookmarkEnd w:id="70"/>
      <w:r>
        <w:rPr>
          <w:rFonts w:eastAsia="黑体"/>
          <w:sz w:val="30"/>
          <w:szCs w:val="30"/>
        </w:rPr>
        <w:t xml:space="preserve"> </w:t>
      </w:r>
    </w:p>
    <w:p w14:paraId="48F2665C">
      <w:pPr>
        <w:spacing w:line="560" w:lineRule="exact"/>
        <w:ind w:firstLine="562"/>
        <w:outlineLvl w:val="2"/>
        <w:rPr>
          <w:rFonts w:eastAsia="黑体"/>
          <w:b/>
          <w:sz w:val="28"/>
          <w:szCs w:val="28"/>
        </w:rPr>
      </w:pPr>
      <w:r>
        <w:rPr>
          <w:rFonts w:eastAsia="黑体"/>
          <w:b/>
          <w:sz w:val="28"/>
          <w:szCs w:val="28"/>
        </w:rPr>
        <w:t>6.5.1宣传</w:t>
      </w:r>
    </w:p>
    <w:p w14:paraId="61DA00EF">
      <w:pPr>
        <w:spacing w:line="560" w:lineRule="exact"/>
        <w:ind w:firstLine="560" w:firstLineChars="200"/>
        <w:rPr>
          <w:rFonts w:eastAsia="仿宋"/>
          <w:sz w:val="28"/>
          <w:szCs w:val="28"/>
        </w:rPr>
      </w:pPr>
      <w:r>
        <w:rPr>
          <w:rFonts w:hint="eastAsia" w:eastAsia="仿宋"/>
          <w:sz w:val="28"/>
          <w:szCs w:val="28"/>
        </w:rPr>
        <w:t>县政府</w:t>
      </w:r>
      <w:r>
        <w:rPr>
          <w:rFonts w:eastAsia="仿宋"/>
          <w:sz w:val="28"/>
          <w:szCs w:val="28"/>
        </w:rPr>
        <w:t>和有关单位应当采取多种形式加强对本预案的宣传。</w:t>
      </w:r>
    </w:p>
    <w:p w14:paraId="13EF68B8">
      <w:pPr>
        <w:spacing w:line="560" w:lineRule="exact"/>
        <w:ind w:firstLine="562"/>
        <w:outlineLvl w:val="2"/>
        <w:rPr>
          <w:rFonts w:eastAsia="黑体"/>
          <w:b/>
          <w:sz w:val="28"/>
          <w:szCs w:val="28"/>
        </w:rPr>
      </w:pPr>
      <w:r>
        <w:rPr>
          <w:rFonts w:eastAsia="黑体"/>
          <w:b/>
          <w:sz w:val="28"/>
          <w:szCs w:val="28"/>
        </w:rPr>
        <w:t>6.5.2培训</w:t>
      </w:r>
    </w:p>
    <w:p w14:paraId="3A9D2AB8">
      <w:pPr>
        <w:spacing w:line="560" w:lineRule="exact"/>
        <w:ind w:firstLine="560" w:firstLineChars="200"/>
        <w:rPr>
          <w:rFonts w:eastAsia="仿宋"/>
          <w:sz w:val="28"/>
          <w:szCs w:val="28"/>
        </w:rPr>
      </w:pPr>
      <w:r>
        <w:rPr>
          <w:rFonts w:eastAsia="仿宋"/>
          <w:sz w:val="28"/>
          <w:szCs w:val="28"/>
        </w:rPr>
        <w:t>有关单位和各核技术利用单位要制订落实辐射事故应急救援及管理人员日常培训计划，熟悉掌握应急预案基本内容，学习了解有关辐射基础知识和防护技能，以及辐射事故应急的有关知识和辐射监测、危险</w:t>
      </w:r>
      <w:r>
        <w:rPr>
          <w:rFonts w:hint="eastAsia" w:eastAsia="仿宋"/>
          <w:sz w:val="28"/>
          <w:szCs w:val="28"/>
        </w:rPr>
        <w:t>县</w:t>
      </w:r>
      <w:r>
        <w:rPr>
          <w:rFonts w:eastAsia="仿宋"/>
          <w:sz w:val="28"/>
          <w:szCs w:val="28"/>
        </w:rPr>
        <w:t>域划定、人员疏散、人员救助和紧急处置等基本技能，提高业务水平和应急处置能力。</w:t>
      </w:r>
    </w:p>
    <w:p w14:paraId="1F23808D">
      <w:pPr>
        <w:spacing w:line="560" w:lineRule="exact"/>
        <w:ind w:firstLine="562"/>
        <w:outlineLvl w:val="2"/>
        <w:rPr>
          <w:rFonts w:eastAsia="黑体"/>
          <w:b/>
          <w:sz w:val="28"/>
          <w:szCs w:val="28"/>
        </w:rPr>
      </w:pPr>
      <w:r>
        <w:rPr>
          <w:rFonts w:eastAsia="黑体"/>
          <w:b/>
          <w:sz w:val="28"/>
          <w:szCs w:val="28"/>
        </w:rPr>
        <w:t>6.5.3演习</w:t>
      </w:r>
    </w:p>
    <w:p w14:paraId="36FD9A8D">
      <w:pPr>
        <w:ind w:firstLine="560" w:firstLineChars="200"/>
        <w:rPr>
          <w:rFonts w:eastAsia="仿宋"/>
          <w:sz w:val="28"/>
          <w:szCs w:val="28"/>
        </w:rPr>
      </w:pPr>
      <w:r>
        <w:rPr>
          <w:rFonts w:hint="eastAsia" w:eastAsia="仿宋"/>
          <w:sz w:val="28"/>
          <w:szCs w:val="28"/>
        </w:rPr>
        <w:t>县</w:t>
      </w:r>
      <w:r>
        <w:rPr>
          <w:rFonts w:eastAsia="仿宋"/>
          <w:sz w:val="28"/>
          <w:szCs w:val="28"/>
        </w:rPr>
        <w:t>人民政府、有关单位、各核技术利用单位应结合实际，有计划、有重点地按照应急预案，组织不同类型的辐射事故应急演习，加强各部门间的协同应对能力，提高防范和处置辐射事故的技能，增强实战能力。原则上至少每3年组织一次综合演习，每年组织不少于1次专项演习。</w:t>
      </w:r>
    </w:p>
    <w:p w14:paraId="14D13E72">
      <w:pPr>
        <w:spacing w:line="560" w:lineRule="exact"/>
        <w:ind w:firstLine="640"/>
        <w:outlineLvl w:val="0"/>
        <w:rPr>
          <w:rFonts w:eastAsia="黑体"/>
          <w:sz w:val="32"/>
          <w:szCs w:val="32"/>
        </w:rPr>
      </w:pPr>
      <w:bookmarkStart w:id="71" w:name="_Toc7452"/>
      <w:bookmarkStart w:id="72" w:name="_Toc10923"/>
      <w:bookmarkStart w:id="73" w:name="_Toc267847518"/>
      <w:r>
        <w:rPr>
          <w:rFonts w:hint="eastAsia" w:eastAsia="黑体"/>
          <w:sz w:val="32"/>
          <w:szCs w:val="32"/>
        </w:rPr>
        <w:t>7</w:t>
      </w:r>
      <w:r>
        <w:rPr>
          <w:rFonts w:eastAsia="黑体"/>
          <w:sz w:val="32"/>
          <w:szCs w:val="32"/>
        </w:rPr>
        <w:t xml:space="preserve"> 附则</w:t>
      </w:r>
      <w:bookmarkEnd w:id="71"/>
      <w:bookmarkEnd w:id="72"/>
      <w:bookmarkEnd w:id="73"/>
    </w:p>
    <w:p w14:paraId="45F8A1A3">
      <w:pPr>
        <w:spacing w:line="600" w:lineRule="exact"/>
        <w:ind w:firstLine="600"/>
        <w:outlineLvl w:val="1"/>
        <w:rPr>
          <w:rFonts w:eastAsia="黑体"/>
          <w:sz w:val="30"/>
          <w:szCs w:val="30"/>
        </w:rPr>
      </w:pPr>
      <w:bookmarkStart w:id="74" w:name="_Toc1219"/>
      <w:bookmarkStart w:id="75" w:name="_Toc4896"/>
      <w:r>
        <w:rPr>
          <w:rFonts w:hint="eastAsia" w:eastAsia="黑体"/>
          <w:sz w:val="30"/>
          <w:szCs w:val="30"/>
        </w:rPr>
        <w:t>7</w:t>
      </w:r>
      <w:r>
        <w:rPr>
          <w:rFonts w:eastAsia="黑体"/>
          <w:sz w:val="30"/>
          <w:szCs w:val="30"/>
        </w:rPr>
        <w:t>.1 预案管理与更新</w:t>
      </w:r>
      <w:bookmarkEnd w:id="74"/>
      <w:bookmarkEnd w:id="75"/>
    </w:p>
    <w:p w14:paraId="50D0B5D8">
      <w:pPr>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本预案由文水县人民政府发布，原则上每3年修订一次，有重大变化及时修订。</w:t>
      </w:r>
    </w:p>
    <w:p w14:paraId="0E414BB7">
      <w:pPr>
        <w:spacing w:line="600" w:lineRule="exact"/>
        <w:ind w:firstLine="600"/>
        <w:outlineLvl w:val="1"/>
        <w:rPr>
          <w:rFonts w:eastAsia="黑体"/>
          <w:sz w:val="30"/>
          <w:szCs w:val="30"/>
        </w:rPr>
      </w:pPr>
      <w:bookmarkStart w:id="76" w:name="_Toc30919"/>
      <w:bookmarkStart w:id="77" w:name="_Toc2591"/>
      <w:r>
        <w:rPr>
          <w:rFonts w:hint="eastAsia" w:eastAsia="黑体"/>
          <w:sz w:val="30"/>
          <w:szCs w:val="30"/>
        </w:rPr>
        <w:t>7</w:t>
      </w:r>
      <w:r>
        <w:rPr>
          <w:rFonts w:eastAsia="黑体"/>
          <w:sz w:val="30"/>
          <w:szCs w:val="30"/>
        </w:rPr>
        <w:t>.2 预案解释部门</w:t>
      </w:r>
      <w:bookmarkEnd w:id="76"/>
      <w:bookmarkEnd w:id="77"/>
    </w:p>
    <w:p w14:paraId="7F2FCBCE">
      <w:pPr>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本预案由吕梁市生态环境局文水分局负责解释。</w:t>
      </w:r>
    </w:p>
    <w:p w14:paraId="384BA559">
      <w:pPr>
        <w:spacing w:line="600" w:lineRule="exact"/>
        <w:ind w:firstLine="600"/>
        <w:outlineLvl w:val="1"/>
        <w:rPr>
          <w:rFonts w:eastAsia="黑体"/>
          <w:sz w:val="30"/>
          <w:szCs w:val="30"/>
        </w:rPr>
      </w:pPr>
      <w:bookmarkStart w:id="78" w:name="_Toc21694"/>
      <w:bookmarkStart w:id="79" w:name="_Toc1724"/>
      <w:r>
        <w:rPr>
          <w:rFonts w:hint="eastAsia" w:eastAsia="黑体"/>
          <w:sz w:val="30"/>
          <w:szCs w:val="30"/>
        </w:rPr>
        <w:t>7</w:t>
      </w:r>
      <w:r>
        <w:rPr>
          <w:rFonts w:eastAsia="黑体"/>
          <w:sz w:val="30"/>
          <w:szCs w:val="30"/>
        </w:rPr>
        <w:t>.3 预案实施时间</w:t>
      </w:r>
      <w:bookmarkEnd w:id="78"/>
      <w:bookmarkEnd w:id="79"/>
    </w:p>
    <w:p w14:paraId="4A0A5527">
      <w:pPr>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本预案自发布之日起实施。</w:t>
      </w:r>
    </w:p>
    <w:p w14:paraId="10667760">
      <w:pPr>
        <w:spacing w:line="560" w:lineRule="exact"/>
        <w:ind w:firstLine="560" w:firstLineChars="200"/>
        <w:rPr>
          <w:rFonts w:eastAsia="仿宋"/>
          <w:sz w:val="28"/>
          <w:szCs w:val="28"/>
        </w:rPr>
      </w:pPr>
    </w:p>
    <w:p w14:paraId="315532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eastAsia="仿宋"/>
          <w:sz w:val="28"/>
          <w:szCs w:val="28"/>
        </w:rPr>
      </w:pPr>
      <w:bookmarkStart w:id="80" w:name="_Toc18357"/>
      <w:bookmarkStart w:id="81" w:name="_Toc21513"/>
      <w:bookmarkStart w:id="82" w:name="_Toc17625"/>
      <w:r>
        <w:rPr>
          <w:rFonts w:eastAsia="仿宋"/>
          <w:sz w:val="28"/>
          <w:szCs w:val="28"/>
        </w:rPr>
        <w:t>附件</w:t>
      </w:r>
      <w:r>
        <w:rPr>
          <w:rFonts w:hint="eastAsia" w:eastAsia="仿宋"/>
          <w:sz w:val="28"/>
          <w:szCs w:val="28"/>
          <w:lang w:eastAsia="zh-CN"/>
        </w:rPr>
        <w:t>：</w:t>
      </w:r>
      <w:r>
        <w:rPr>
          <w:rFonts w:eastAsia="仿宋"/>
          <w:sz w:val="28"/>
          <w:szCs w:val="28"/>
        </w:rPr>
        <w:t>1.</w:t>
      </w:r>
      <w:r>
        <w:rPr>
          <w:rFonts w:hint="eastAsia" w:eastAsia="仿宋"/>
          <w:sz w:val="28"/>
          <w:szCs w:val="28"/>
        </w:rPr>
        <w:t>文水县</w:t>
      </w:r>
      <w:r>
        <w:rPr>
          <w:rFonts w:eastAsia="仿宋"/>
          <w:sz w:val="28"/>
          <w:szCs w:val="28"/>
        </w:rPr>
        <w:t>辐射事故应急响应流程图</w:t>
      </w:r>
      <w:bookmarkEnd w:id="80"/>
      <w:bookmarkEnd w:id="81"/>
      <w:bookmarkEnd w:id="82"/>
    </w:p>
    <w:p w14:paraId="5ADA3E99">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outlineLvl w:val="0"/>
        <w:rPr>
          <w:rFonts w:hint="eastAsia" w:eastAsia="仿宋"/>
          <w:sz w:val="28"/>
          <w:szCs w:val="28"/>
          <w:lang w:val="en-US" w:eastAsia="zh-CN"/>
        </w:rPr>
      </w:pPr>
      <w:bookmarkStart w:id="83" w:name="_Toc10981"/>
      <w:r>
        <w:rPr>
          <w:rFonts w:eastAsia="仿宋"/>
          <w:sz w:val="28"/>
          <w:szCs w:val="28"/>
        </w:rPr>
        <w:t>2.</w:t>
      </w:r>
      <w:r>
        <w:rPr>
          <w:rFonts w:hint="eastAsia" w:eastAsia="仿宋"/>
          <w:sz w:val="28"/>
          <w:szCs w:val="28"/>
        </w:rPr>
        <w:t>文水县</w:t>
      </w:r>
      <w:r>
        <w:rPr>
          <w:rFonts w:eastAsia="仿宋"/>
          <w:sz w:val="28"/>
          <w:szCs w:val="28"/>
        </w:rPr>
        <w:t>辐射事故应急现场指挥部及其办公室、成员单位职责</w:t>
      </w:r>
      <w:bookmarkEnd w:id="83"/>
      <w:r>
        <w:rPr>
          <w:rFonts w:hint="eastAsia" w:eastAsia="仿宋"/>
          <w:sz w:val="28"/>
          <w:szCs w:val="28"/>
          <w:lang w:val="en-US" w:eastAsia="zh-CN"/>
        </w:rPr>
        <w:t>表</w:t>
      </w:r>
    </w:p>
    <w:p w14:paraId="2F370A43">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outlineLvl w:val="0"/>
        <w:rPr>
          <w:rFonts w:eastAsia="仿宋"/>
          <w:sz w:val="28"/>
          <w:szCs w:val="28"/>
        </w:rPr>
      </w:pPr>
      <w:bookmarkStart w:id="84" w:name="_Toc4473"/>
      <w:r>
        <w:rPr>
          <w:rFonts w:eastAsia="仿宋"/>
          <w:sz w:val="28"/>
          <w:szCs w:val="28"/>
        </w:rPr>
        <w:t>3.</w:t>
      </w:r>
      <w:r>
        <w:rPr>
          <w:rFonts w:hint="eastAsia" w:eastAsia="仿宋"/>
          <w:sz w:val="28"/>
          <w:szCs w:val="28"/>
        </w:rPr>
        <w:t>文水县</w:t>
      </w:r>
      <w:r>
        <w:rPr>
          <w:rFonts w:eastAsia="仿宋"/>
          <w:sz w:val="28"/>
          <w:szCs w:val="28"/>
        </w:rPr>
        <w:t>辐射事故分级标准、响应条件及应急措施表</w:t>
      </w:r>
      <w:bookmarkEnd w:id="84"/>
    </w:p>
    <w:p w14:paraId="2F154AEC">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outlineLvl w:val="0"/>
        <w:rPr>
          <w:rFonts w:eastAsia="仿宋"/>
          <w:sz w:val="28"/>
          <w:szCs w:val="28"/>
        </w:rPr>
      </w:pPr>
      <w:bookmarkStart w:id="85" w:name="_Toc26104"/>
      <w:r>
        <w:rPr>
          <w:rFonts w:eastAsia="仿宋"/>
          <w:sz w:val="28"/>
          <w:szCs w:val="28"/>
        </w:rPr>
        <w:t>4.辐射事故初始报告表</w:t>
      </w:r>
      <w:bookmarkEnd w:id="85"/>
    </w:p>
    <w:p w14:paraId="1C3899DD">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outlineLvl w:val="0"/>
        <w:rPr>
          <w:rFonts w:eastAsia="仿宋"/>
          <w:sz w:val="28"/>
          <w:szCs w:val="28"/>
        </w:rPr>
      </w:pPr>
      <w:bookmarkStart w:id="86" w:name="_Toc12984"/>
      <w:r>
        <w:rPr>
          <w:rFonts w:eastAsia="仿宋"/>
          <w:sz w:val="28"/>
          <w:szCs w:val="28"/>
        </w:rPr>
        <w:t>5.辐射事故后续报告表</w:t>
      </w:r>
      <w:bookmarkEnd w:id="86"/>
    </w:p>
    <w:p w14:paraId="170806BF">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outlineLvl w:val="0"/>
        <w:rPr>
          <w:rFonts w:eastAsia="仿宋"/>
          <w:sz w:val="28"/>
          <w:szCs w:val="28"/>
        </w:rPr>
      </w:pPr>
      <w:bookmarkStart w:id="87" w:name="_Toc1266"/>
      <w:r>
        <w:rPr>
          <w:rFonts w:hint="eastAsia" w:eastAsia="仿宋"/>
          <w:sz w:val="28"/>
          <w:szCs w:val="28"/>
          <w:lang w:val="en-US" w:eastAsia="zh-CN"/>
        </w:rPr>
        <w:t>6.</w:t>
      </w:r>
      <w:r>
        <w:rPr>
          <w:rFonts w:hint="eastAsia" w:eastAsia="仿宋"/>
          <w:sz w:val="28"/>
          <w:szCs w:val="28"/>
        </w:rPr>
        <w:t>辐射事故处理结果报告表</w:t>
      </w:r>
      <w:bookmarkEnd w:id="87"/>
    </w:p>
    <w:p w14:paraId="3B433126">
      <w:pPr>
        <w:rPr>
          <w:rFonts w:eastAsia="仿宋"/>
          <w:sz w:val="28"/>
          <w:szCs w:val="28"/>
        </w:rPr>
      </w:pPr>
      <w:r>
        <w:rPr>
          <w:rFonts w:eastAsia="仿宋"/>
          <w:sz w:val="28"/>
          <w:szCs w:val="28"/>
        </w:rPr>
        <w:br w:type="page"/>
      </w:r>
    </w:p>
    <w:p w14:paraId="2DDA08D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1"/>
        <w:jc w:val="both"/>
        <w:textAlignment w:val="auto"/>
        <w:outlineLvl w:val="9"/>
        <w:rPr>
          <w:rFonts w:ascii="Times New Roman" w:hAnsi="Times New Roman" w:eastAsia="黑体" w:cs="Times New Roman"/>
          <w:color w:val="auto"/>
          <w:sz w:val="30"/>
          <w:szCs w:val="30"/>
        </w:rPr>
      </w:pPr>
      <w:bookmarkStart w:id="88" w:name="_Toc30186"/>
      <w:bookmarkStart w:id="89" w:name="_Toc24356"/>
      <w:bookmarkStart w:id="90" w:name="_Toc19740"/>
      <w:bookmarkStart w:id="91" w:name="_Toc11775"/>
      <w:bookmarkStart w:id="92" w:name="_Toc3739"/>
      <w:r>
        <w:rPr>
          <w:rFonts w:ascii="Times New Roman" w:hAnsi="Times New Roman" w:eastAsia="黑体" w:cs="Times New Roman"/>
          <w:color w:val="auto"/>
          <w:sz w:val="30"/>
          <w:szCs w:val="30"/>
        </w:rPr>
        <w:t>附</w:t>
      </w:r>
      <w:bookmarkEnd w:id="88"/>
      <w:r>
        <w:rPr>
          <w:rFonts w:ascii="Times New Roman" w:hAnsi="Times New Roman" w:eastAsia="黑体" w:cs="Times New Roman"/>
          <w:color w:val="auto"/>
          <w:sz w:val="30"/>
          <w:szCs w:val="30"/>
        </w:rPr>
        <w:t>件1</w:t>
      </w:r>
      <w:bookmarkEnd w:id="89"/>
      <w:bookmarkEnd w:id="90"/>
      <w:bookmarkEnd w:id="91"/>
      <w:bookmarkEnd w:id="92"/>
      <w:r>
        <w:rPr>
          <w:rFonts w:ascii="Times New Roman" w:hAnsi="Times New Roman" w:eastAsia="黑体" w:cs="Times New Roman"/>
          <w:color w:val="auto"/>
          <w:sz w:val="30"/>
          <w:szCs w:val="30"/>
        </w:rPr>
        <w:t xml:space="preserve"> </w:t>
      </w:r>
    </w:p>
    <w:p w14:paraId="50A157F0">
      <w:pPr>
        <w:pStyle w:val="7"/>
        <w:ind w:firstLine="420"/>
        <w:jc w:val="center"/>
        <w:rPr>
          <w:rFonts w:ascii="Times New Roman" w:hAnsi="Times New Roman" w:cs="Times New Roman"/>
          <w:b/>
          <w:color w:val="auto"/>
          <w:sz w:val="32"/>
          <w:szCs w:val="32"/>
        </w:rPr>
        <w:sectPr>
          <w:pgSz w:w="11906" w:h="16838"/>
          <w:pgMar w:top="1440" w:right="1800" w:bottom="1440" w:left="1800" w:header="851" w:footer="992" w:gutter="0"/>
          <w:cols w:space="425" w:num="1"/>
          <w:docGrid w:type="lines" w:linePitch="312" w:charSpace="0"/>
        </w:sectPr>
      </w:pPr>
      <w:r>
        <w:rPr>
          <w:color w:val="auto"/>
          <w:sz w:val="21"/>
        </w:rPr>
        <mc:AlternateContent>
          <mc:Choice Requires="wpg">
            <w:drawing>
              <wp:anchor distT="0" distB="0" distL="114300" distR="114300" simplePos="0" relativeHeight="251659264" behindDoc="0" locked="0" layoutInCell="1" allowOverlap="1">
                <wp:simplePos x="0" y="0"/>
                <wp:positionH relativeFrom="column">
                  <wp:posOffset>-264160</wp:posOffset>
                </wp:positionH>
                <wp:positionV relativeFrom="paragraph">
                  <wp:posOffset>861695</wp:posOffset>
                </wp:positionV>
                <wp:extent cx="5950585" cy="6171565"/>
                <wp:effectExtent l="4445" t="4445" r="7620" b="15240"/>
                <wp:wrapNone/>
                <wp:docPr id="58" name="组合 58"/>
                <wp:cNvGraphicFramePr/>
                <a:graphic xmlns:a="http://schemas.openxmlformats.org/drawingml/2006/main">
                  <a:graphicData uri="http://schemas.microsoft.com/office/word/2010/wordprocessingGroup">
                    <wpg:wgp>
                      <wpg:cNvGrpSpPr/>
                      <wpg:grpSpPr>
                        <a:xfrm>
                          <a:off x="0" y="0"/>
                          <a:ext cx="5950585" cy="6171565"/>
                          <a:chOff x="5803" y="328304"/>
                          <a:chExt cx="9371" cy="9719"/>
                        </a:xfrm>
                      </wpg:grpSpPr>
                      <wps:wsp>
                        <wps:cNvPr id="1" name="直接箭头连接符 1"/>
                        <wps:cNvCnPr/>
                        <wps:spPr>
                          <a:xfrm>
                            <a:off x="10431" y="334094"/>
                            <a:ext cx="1278" cy="1"/>
                          </a:xfrm>
                          <a:prstGeom prst="straightConnector1">
                            <a:avLst/>
                          </a:prstGeom>
                          <a:ln w="9525" cap="flat" cmpd="sng">
                            <a:solidFill>
                              <a:srgbClr val="000000"/>
                            </a:solidFill>
                            <a:prstDash val="solid"/>
                            <a:round/>
                            <a:headEnd type="none" w="med" len="med"/>
                            <a:tailEnd type="triangle" w="med" len="med"/>
                          </a:ln>
                        </wps:spPr>
                        <wps:bodyPr/>
                      </wps:wsp>
                      <wps:wsp>
                        <wps:cNvPr id="2" name="流程图: 过程 2"/>
                        <wps:cNvSpPr/>
                        <wps:spPr>
                          <a:xfrm>
                            <a:off x="8765" y="331464"/>
                            <a:ext cx="126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7361447D">
                              <w:pPr>
                                <w:jc w:val="center"/>
                                <w:rPr>
                                  <w:rFonts w:eastAsia="仿宋"/>
                                </w:rPr>
                              </w:pPr>
                              <w:r>
                                <w:rPr>
                                  <w:rFonts w:eastAsia="仿宋"/>
                                </w:rPr>
                                <w:t>Ⅳ级响应</w:t>
                              </w:r>
                            </w:p>
                            <w:p w14:paraId="1B58A46A">
                              <w:pPr>
                                <w:rPr>
                                  <w:rStyle w:val="15"/>
                                  <w:rFonts w:ascii="Calibri" w:hAnsi="Calibri"/>
                                  <w:sz w:val="21"/>
                                </w:rPr>
                              </w:pPr>
                            </w:p>
                          </w:txbxContent>
                        </wps:txbx>
                        <wps:bodyPr upright="1"/>
                      </wps:wsp>
                      <wps:wsp>
                        <wps:cNvPr id="3" name="上下箭头标注 3"/>
                        <wps:cNvSpPr/>
                        <wps:spPr>
                          <a:xfrm>
                            <a:off x="7862" y="328811"/>
                            <a:ext cx="3399" cy="1216"/>
                          </a:xfrm>
                          <a:prstGeom prst="upDownArrowCallout">
                            <a:avLst>
                              <a:gd name="adj1" fmla="val 33436"/>
                              <a:gd name="adj2" fmla="val 33426"/>
                              <a:gd name="adj3" fmla="val 12500"/>
                              <a:gd name="adj4" fmla="val 50000"/>
                            </a:avLst>
                          </a:prstGeom>
                          <a:solidFill>
                            <a:srgbClr val="FFFFFF"/>
                          </a:solidFill>
                          <a:ln w="6350" cap="flat" cmpd="sng">
                            <a:solidFill>
                              <a:srgbClr val="000000"/>
                            </a:solidFill>
                            <a:prstDash val="solid"/>
                            <a:miter/>
                            <a:headEnd type="none" w="med" len="med"/>
                            <a:tailEnd type="none" w="med" len="med"/>
                          </a:ln>
                        </wps:spPr>
                        <wps:txbx>
                          <w:txbxContent>
                            <w:p w14:paraId="0D8F7891">
                              <w:pPr>
                                <w:jc w:val="center"/>
                                <w:rPr>
                                  <w:rFonts w:ascii="仿宋" w:hAnsi="仿宋" w:eastAsia="仿宋" w:cs="仿宋"/>
                                </w:rPr>
                              </w:pPr>
                              <w:r>
                                <w:rPr>
                                  <w:rFonts w:hint="eastAsia" w:ascii="仿宋" w:hAnsi="仿宋" w:eastAsia="仿宋" w:cs="仿宋"/>
                                </w:rPr>
                                <w:t>县指挥部办公室信息接收与处置</w:t>
                              </w:r>
                            </w:p>
                          </w:txbxContent>
                        </wps:txbx>
                        <wps:bodyPr upright="1"/>
                      </wps:wsp>
                      <wps:wsp>
                        <wps:cNvPr id="4" name="流程图: 过程 4"/>
                        <wps:cNvSpPr/>
                        <wps:spPr>
                          <a:xfrm>
                            <a:off x="7403" y="330088"/>
                            <a:ext cx="4074" cy="542"/>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4FCF871A">
                              <w:pPr>
                                <w:jc w:val="center"/>
                                <w:rPr>
                                  <w:rFonts w:ascii="仿宋" w:hAnsi="仿宋" w:eastAsia="仿宋" w:cs="仿宋"/>
                                </w:rPr>
                              </w:pPr>
                              <w:r>
                                <w:rPr>
                                  <w:rFonts w:hint="eastAsia" w:ascii="仿宋" w:hAnsi="仿宋" w:eastAsia="仿宋" w:cs="仿宋"/>
                                </w:rPr>
                                <w:t>县指挥部初判事件等级，启动应急响应</w:t>
                              </w:r>
                            </w:p>
                          </w:txbxContent>
                        </wps:txbx>
                        <wps:bodyPr upright="1"/>
                      </wps:wsp>
                      <wps:wsp>
                        <wps:cNvPr id="5" name="直接箭头连接符 5"/>
                        <wps:cNvCnPr>
                          <a:stCxn id="2" idx="2"/>
                          <a:endCxn id="7" idx="0"/>
                        </wps:cNvCnPr>
                        <wps:spPr>
                          <a:xfrm flipH="1">
                            <a:off x="9392" y="331931"/>
                            <a:ext cx="3" cy="1773"/>
                          </a:xfrm>
                          <a:prstGeom prst="straightConnector1">
                            <a:avLst/>
                          </a:prstGeom>
                          <a:ln w="9525" cap="flat" cmpd="sng">
                            <a:solidFill>
                              <a:srgbClr val="000000"/>
                            </a:solidFill>
                            <a:prstDash val="solid"/>
                            <a:round/>
                            <a:headEnd type="none" w="med" len="med"/>
                            <a:tailEnd type="triangle" w="med" len="med"/>
                          </a:ln>
                        </wps:spPr>
                        <wps:bodyPr/>
                      </wps:wsp>
                      <wps:wsp>
                        <wps:cNvPr id="6" name="文本框 6"/>
                        <wps:cNvSpPr txBox="1"/>
                        <wps:spPr>
                          <a:xfrm>
                            <a:off x="8169" y="328304"/>
                            <a:ext cx="2685" cy="48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4A15AE3">
                              <w:pPr>
                                <w:jc w:val="center"/>
                                <w:rPr>
                                  <w:rFonts w:ascii="仿宋" w:hAnsi="仿宋" w:eastAsia="仿宋" w:cs="仿宋"/>
                                </w:rPr>
                              </w:pPr>
                              <w:r>
                                <w:rPr>
                                  <w:rFonts w:hint="eastAsia" w:ascii="仿宋" w:hAnsi="仿宋" w:eastAsia="仿宋" w:cs="仿宋"/>
                                </w:rPr>
                                <w:t>辐射事故发生</w:t>
                              </w:r>
                            </w:p>
                          </w:txbxContent>
                        </wps:txbx>
                        <wps:bodyPr upright="1"/>
                      </wps:wsp>
                      <wps:wsp>
                        <wps:cNvPr id="7" name="文本框 7"/>
                        <wps:cNvSpPr txBox="1"/>
                        <wps:spPr>
                          <a:xfrm>
                            <a:off x="8364" y="333704"/>
                            <a:ext cx="2056" cy="80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80B42C0">
                              <w:pPr>
                                <w:jc w:val="center"/>
                                <w:rPr>
                                  <w:rFonts w:ascii="仿宋" w:hAnsi="仿宋" w:eastAsia="仿宋" w:cs="仿宋"/>
                                </w:rPr>
                              </w:pPr>
                              <w:r>
                                <w:rPr>
                                  <w:rFonts w:hint="eastAsia" w:ascii="仿宋" w:hAnsi="仿宋" w:eastAsia="仿宋" w:cs="仿宋"/>
                                </w:rPr>
                                <w:t>成立现场指挥部组织开展应急处置</w:t>
                              </w:r>
                            </w:p>
                          </w:txbxContent>
                        </wps:txbx>
                        <wps:bodyPr upright="1"/>
                      </wps:wsp>
                      <wps:wsp>
                        <wps:cNvPr id="8" name="直接箭头连接符 8"/>
                        <wps:cNvCnPr>
                          <a:stCxn id="2" idx="2"/>
                          <a:endCxn id="7" idx="0"/>
                        </wps:cNvCnPr>
                        <wps:spPr>
                          <a:xfrm>
                            <a:off x="9406" y="330659"/>
                            <a:ext cx="4" cy="802"/>
                          </a:xfrm>
                          <a:prstGeom prst="straightConnector1">
                            <a:avLst/>
                          </a:prstGeom>
                          <a:ln w="9525" cap="flat" cmpd="sng">
                            <a:solidFill>
                              <a:srgbClr val="000000"/>
                            </a:solidFill>
                            <a:prstDash val="solid"/>
                            <a:round/>
                            <a:headEnd type="none" w="med" len="med"/>
                            <a:tailEnd type="triangle" w="med" len="med"/>
                          </a:ln>
                        </wps:spPr>
                        <wps:bodyPr/>
                      </wps:wsp>
                      <wps:wsp>
                        <wps:cNvPr id="9" name="直接箭头连接符 9"/>
                        <wps:cNvCnPr>
                          <a:stCxn id="2" idx="2"/>
                          <a:endCxn id="7" idx="0"/>
                        </wps:cNvCnPr>
                        <wps:spPr>
                          <a:xfrm flipV="1">
                            <a:off x="7956" y="334129"/>
                            <a:ext cx="408" cy="10"/>
                          </a:xfrm>
                          <a:prstGeom prst="straightConnector1">
                            <a:avLst/>
                          </a:prstGeom>
                          <a:ln w="9525" cap="flat" cmpd="sng">
                            <a:solidFill>
                              <a:srgbClr val="000000"/>
                            </a:solidFill>
                            <a:prstDash val="solid"/>
                            <a:round/>
                            <a:headEnd type="none" w="med" len="med"/>
                            <a:tailEnd type="triangle" w="med" len="med"/>
                          </a:ln>
                        </wps:spPr>
                        <wps:bodyPr/>
                      </wps:wsp>
                      <wps:wsp>
                        <wps:cNvPr id="10" name="文本框 10"/>
                        <wps:cNvSpPr txBox="1"/>
                        <wps:spPr>
                          <a:xfrm>
                            <a:off x="11252" y="331453"/>
                            <a:ext cx="3923" cy="798"/>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9F16E3B">
                              <w:pPr>
                                <w:rPr>
                                  <w:rFonts w:ascii="仿宋" w:hAnsi="仿宋" w:eastAsia="仿宋" w:cs="仿宋"/>
                                </w:rPr>
                              </w:pPr>
                              <w:r>
                                <w:rPr>
                                  <w:rFonts w:hint="eastAsia" w:ascii="仿宋" w:hAnsi="仿宋" w:eastAsia="仿宋" w:cs="仿宋"/>
                                </w:rPr>
                                <w:t>县辐射事故应急现场指挥部及相关人员到场，县指挥部按要求开展应急工作</w:t>
                              </w:r>
                            </w:p>
                          </w:txbxContent>
                        </wps:txbx>
                        <wps:bodyPr upright="1"/>
                      </wps:wsp>
                      <wps:wsp>
                        <wps:cNvPr id="11" name="直接箭头连接符 11"/>
                        <wps:cNvCnPr>
                          <a:stCxn id="2" idx="2"/>
                          <a:endCxn id="7" idx="0"/>
                        </wps:cNvCnPr>
                        <wps:spPr>
                          <a:xfrm rot="-480000" flipH="1">
                            <a:off x="9356" y="334517"/>
                            <a:ext cx="71" cy="571"/>
                          </a:xfrm>
                          <a:prstGeom prst="straightConnector1">
                            <a:avLst/>
                          </a:prstGeom>
                          <a:ln w="9525" cap="flat" cmpd="sng">
                            <a:solidFill>
                              <a:srgbClr val="000000"/>
                            </a:solidFill>
                            <a:prstDash val="solid"/>
                            <a:round/>
                            <a:headEnd type="none" w="med" len="med"/>
                            <a:tailEnd type="triangle" w="med" len="med"/>
                          </a:ln>
                        </wps:spPr>
                        <wps:bodyPr/>
                      </wps:wsp>
                      <wps:wsp>
                        <wps:cNvPr id="12" name="文本框 12"/>
                        <wps:cNvSpPr txBox="1"/>
                        <wps:spPr>
                          <a:xfrm>
                            <a:off x="8573" y="335099"/>
                            <a:ext cx="1682" cy="80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2F655CCD">
                              <w:pPr>
                                <w:rPr>
                                  <w:rFonts w:ascii="仿宋" w:hAnsi="仿宋" w:eastAsia="仿宋" w:cs="仿宋"/>
                                </w:rPr>
                              </w:pPr>
                              <w:r>
                                <w:rPr>
                                  <w:rFonts w:hint="eastAsia" w:ascii="仿宋" w:hAnsi="仿宋" w:eastAsia="仿宋" w:cs="仿宋"/>
                                </w:rPr>
                                <w:t>处置结果符合响应终止条件</w:t>
                              </w:r>
                            </w:p>
                          </w:txbxContent>
                        </wps:txbx>
                        <wps:bodyPr upright="1"/>
                      </wps:wsp>
                      <wps:wsp>
                        <wps:cNvPr id="13" name="直接箭头连接符 13"/>
                        <wps:cNvCnPr>
                          <a:stCxn id="2" idx="2"/>
                          <a:endCxn id="7" idx="0"/>
                        </wps:cNvCnPr>
                        <wps:spPr>
                          <a:xfrm rot="-480000" flipH="1">
                            <a:off x="9416" y="335912"/>
                            <a:ext cx="71" cy="571"/>
                          </a:xfrm>
                          <a:prstGeom prst="straightConnector1">
                            <a:avLst/>
                          </a:prstGeom>
                          <a:ln w="9525" cap="flat" cmpd="sng">
                            <a:solidFill>
                              <a:srgbClr val="000000"/>
                            </a:solidFill>
                            <a:prstDash val="solid"/>
                            <a:round/>
                            <a:headEnd type="none" w="med" len="med"/>
                            <a:tailEnd type="triangle" w="med" len="med"/>
                          </a:ln>
                        </wps:spPr>
                        <wps:bodyPr/>
                      </wps:wsp>
                      <wps:wsp>
                        <wps:cNvPr id="14" name="文本框 14"/>
                        <wps:cNvSpPr txBox="1"/>
                        <wps:spPr>
                          <a:xfrm>
                            <a:off x="8558" y="336509"/>
                            <a:ext cx="1682" cy="46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60B8FDF">
                              <w:pPr>
                                <w:jc w:val="center"/>
                                <w:rPr>
                                  <w:rFonts w:ascii="仿宋" w:hAnsi="仿宋" w:eastAsia="仿宋" w:cs="仿宋"/>
                                </w:rPr>
                              </w:pPr>
                              <w:r>
                                <w:rPr>
                                  <w:rFonts w:hint="eastAsia" w:ascii="仿宋" w:hAnsi="仿宋" w:eastAsia="仿宋" w:cs="仿宋"/>
                                </w:rPr>
                                <w:t>终止响应</w:t>
                              </w:r>
                            </w:p>
                          </w:txbxContent>
                        </wps:txbx>
                        <wps:bodyPr upright="1"/>
                      </wps:wsp>
                      <wps:wsp>
                        <wps:cNvPr id="15" name="直接箭头连接符 15"/>
                        <wps:cNvCnPr>
                          <a:stCxn id="2" idx="2"/>
                          <a:endCxn id="7" idx="0"/>
                        </wps:cNvCnPr>
                        <wps:spPr>
                          <a:xfrm rot="-480000" flipH="1">
                            <a:off x="9388" y="337009"/>
                            <a:ext cx="71" cy="571"/>
                          </a:xfrm>
                          <a:prstGeom prst="straightConnector1">
                            <a:avLst/>
                          </a:prstGeom>
                          <a:ln w="9525" cap="flat" cmpd="sng">
                            <a:solidFill>
                              <a:srgbClr val="000000"/>
                            </a:solidFill>
                            <a:prstDash val="solid"/>
                            <a:round/>
                            <a:headEnd type="none" w="med" len="med"/>
                            <a:tailEnd type="triangle" w="med" len="med"/>
                          </a:ln>
                        </wps:spPr>
                        <wps:bodyPr/>
                      </wps:wsp>
                      <wps:wsp>
                        <wps:cNvPr id="16" name="文本框 16"/>
                        <wps:cNvSpPr txBox="1"/>
                        <wps:spPr>
                          <a:xfrm>
                            <a:off x="8543" y="337559"/>
                            <a:ext cx="1682" cy="46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42F5327">
                              <w:pPr>
                                <w:jc w:val="center"/>
                                <w:rPr>
                                  <w:rFonts w:ascii="仿宋" w:hAnsi="仿宋" w:eastAsia="仿宋" w:cs="仿宋"/>
                                </w:rPr>
                              </w:pPr>
                              <w:r>
                                <w:rPr>
                                  <w:rFonts w:hint="eastAsia" w:ascii="仿宋" w:hAnsi="仿宋" w:eastAsia="仿宋" w:cs="仿宋"/>
                                </w:rPr>
                                <w:t>后期处置</w:t>
                              </w:r>
                            </w:p>
                          </w:txbxContent>
                        </wps:txbx>
                        <wps:bodyPr upright="1"/>
                      </wps:wsp>
                      <wps:wsp>
                        <wps:cNvPr id="17" name="直接连接符 17"/>
                        <wps:cNvCnPr/>
                        <wps:spPr>
                          <a:xfrm flipH="1">
                            <a:off x="7947" y="332721"/>
                            <a:ext cx="15" cy="2865"/>
                          </a:xfrm>
                          <a:prstGeom prst="line">
                            <a:avLst/>
                          </a:prstGeom>
                          <a:ln w="9525" cap="flat" cmpd="sng">
                            <a:solidFill>
                              <a:srgbClr val="000000"/>
                            </a:solidFill>
                            <a:prstDash val="solid"/>
                            <a:round/>
                            <a:headEnd type="none" w="med" len="med"/>
                            <a:tailEnd type="none" w="med" len="med"/>
                          </a:ln>
                        </wps:spPr>
                        <wps:bodyPr/>
                      </wps:wsp>
                      <wps:wsp>
                        <wps:cNvPr id="18" name="直接连接符 18"/>
                        <wps:cNvCnPr/>
                        <wps:spPr>
                          <a:xfrm flipH="1">
                            <a:off x="7430" y="332731"/>
                            <a:ext cx="540" cy="0"/>
                          </a:xfrm>
                          <a:prstGeom prst="line">
                            <a:avLst/>
                          </a:prstGeom>
                          <a:ln w="9525" cap="flat" cmpd="sng">
                            <a:solidFill>
                              <a:srgbClr val="000000"/>
                            </a:solidFill>
                            <a:prstDash val="solid"/>
                            <a:round/>
                            <a:headEnd type="none" w="med" len="med"/>
                            <a:tailEnd type="none" w="med" len="med"/>
                          </a:ln>
                        </wps:spPr>
                        <wps:bodyPr/>
                      </wps:wsp>
                      <wps:wsp>
                        <wps:cNvPr id="19" name="直接连接符 19"/>
                        <wps:cNvCnPr/>
                        <wps:spPr>
                          <a:xfrm flipH="1">
                            <a:off x="7428" y="333455"/>
                            <a:ext cx="540" cy="0"/>
                          </a:xfrm>
                          <a:prstGeom prst="line">
                            <a:avLst/>
                          </a:prstGeom>
                          <a:ln w="9525" cap="flat" cmpd="sng">
                            <a:solidFill>
                              <a:srgbClr val="000000"/>
                            </a:solidFill>
                            <a:prstDash val="solid"/>
                            <a:round/>
                            <a:headEnd type="none" w="med" len="med"/>
                            <a:tailEnd type="none" w="med" len="med"/>
                          </a:ln>
                        </wps:spPr>
                        <wps:bodyPr/>
                      </wps:wsp>
                      <wps:wsp>
                        <wps:cNvPr id="20" name="直接连接符 20"/>
                        <wps:cNvCnPr/>
                        <wps:spPr>
                          <a:xfrm flipH="1">
                            <a:off x="7420" y="334138"/>
                            <a:ext cx="540" cy="0"/>
                          </a:xfrm>
                          <a:prstGeom prst="line">
                            <a:avLst/>
                          </a:prstGeom>
                          <a:ln w="9525" cap="flat" cmpd="sng">
                            <a:solidFill>
                              <a:srgbClr val="000000"/>
                            </a:solidFill>
                            <a:prstDash val="solid"/>
                            <a:round/>
                            <a:headEnd type="none" w="med" len="med"/>
                            <a:tailEnd type="none" w="med" len="med"/>
                          </a:ln>
                        </wps:spPr>
                        <wps:bodyPr/>
                      </wps:wsp>
                      <wps:wsp>
                        <wps:cNvPr id="21" name="直接连接符 21"/>
                        <wps:cNvCnPr/>
                        <wps:spPr>
                          <a:xfrm flipH="1">
                            <a:off x="7412" y="334821"/>
                            <a:ext cx="540" cy="0"/>
                          </a:xfrm>
                          <a:prstGeom prst="line">
                            <a:avLst/>
                          </a:prstGeom>
                          <a:ln w="9525" cap="flat" cmpd="sng">
                            <a:solidFill>
                              <a:srgbClr val="000000"/>
                            </a:solidFill>
                            <a:prstDash val="solid"/>
                            <a:round/>
                            <a:headEnd type="none" w="med" len="med"/>
                            <a:tailEnd type="none" w="med" len="med"/>
                          </a:ln>
                        </wps:spPr>
                        <wps:bodyPr/>
                      </wps:wsp>
                      <wps:wsp>
                        <wps:cNvPr id="22" name="直接连接符 22"/>
                        <wps:cNvCnPr/>
                        <wps:spPr>
                          <a:xfrm flipH="1">
                            <a:off x="7404" y="335580"/>
                            <a:ext cx="540" cy="0"/>
                          </a:xfrm>
                          <a:prstGeom prst="line">
                            <a:avLst/>
                          </a:prstGeom>
                          <a:ln w="9525" cap="flat" cmpd="sng">
                            <a:solidFill>
                              <a:srgbClr val="000000"/>
                            </a:solidFill>
                            <a:prstDash val="solid"/>
                            <a:round/>
                            <a:headEnd type="none" w="med" len="med"/>
                            <a:tailEnd type="none" w="med" len="med"/>
                          </a:ln>
                        </wps:spPr>
                        <wps:bodyPr/>
                      </wps:wsp>
                      <wps:wsp>
                        <wps:cNvPr id="23" name="流程图: 过程 23"/>
                        <wps:cNvSpPr/>
                        <wps:spPr>
                          <a:xfrm>
                            <a:off x="5831" y="332471"/>
                            <a:ext cx="160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6369EE6A">
                              <w:pPr>
                                <w:jc w:val="center"/>
                                <w:rPr>
                                  <w:rFonts w:ascii="仿宋" w:hAnsi="仿宋" w:eastAsia="仿宋" w:cs="仿宋"/>
                                </w:rPr>
                              </w:pPr>
                              <w:r>
                                <w:rPr>
                                  <w:rFonts w:hint="eastAsia" w:ascii="仿宋" w:hAnsi="仿宋" w:eastAsia="仿宋" w:cs="仿宋"/>
                                </w:rPr>
                                <w:t>资金保障</w:t>
                              </w:r>
                            </w:p>
                          </w:txbxContent>
                        </wps:txbx>
                        <wps:bodyPr upright="1"/>
                      </wps:wsp>
                      <wps:wsp>
                        <wps:cNvPr id="24" name="流程图: 过程 24"/>
                        <wps:cNvSpPr/>
                        <wps:spPr>
                          <a:xfrm>
                            <a:off x="5812" y="333203"/>
                            <a:ext cx="1618"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6CBF82D9">
                              <w:pPr>
                                <w:jc w:val="center"/>
                                <w:rPr>
                                  <w:rFonts w:ascii="仿宋" w:hAnsi="仿宋" w:eastAsia="仿宋" w:cs="仿宋"/>
                                </w:rPr>
                              </w:pPr>
                              <w:r>
                                <w:rPr>
                                  <w:rFonts w:hint="eastAsia" w:ascii="仿宋" w:hAnsi="仿宋" w:eastAsia="仿宋" w:cs="仿宋"/>
                                </w:rPr>
                                <w:t>物资装备保障</w:t>
                              </w:r>
                            </w:p>
                          </w:txbxContent>
                        </wps:txbx>
                        <wps:bodyPr upright="1"/>
                      </wps:wsp>
                      <wps:wsp>
                        <wps:cNvPr id="25" name="流程图: 过程 25"/>
                        <wps:cNvSpPr/>
                        <wps:spPr>
                          <a:xfrm>
                            <a:off x="5813" y="333886"/>
                            <a:ext cx="160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56EF69DC">
                              <w:pPr>
                                <w:jc w:val="center"/>
                                <w:rPr>
                                  <w:rFonts w:ascii="仿宋" w:hAnsi="仿宋" w:eastAsia="仿宋" w:cs="仿宋"/>
                                </w:rPr>
                              </w:pPr>
                              <w:r>
                                <w:rPr>
                                  <w:rFonts w:hint="eastAsia" w:ascii="仿宋" w:hAnsi="仿宋" w:eastAsia="仿宋" w:cs="仿宋"/>
                                </w:rPr>
                                <w:t>通信保障</w:t>
                              </w:r>
                            </w:p>
                          </w:txbxContent>
                        </wps:txbx>
                        <wps:bodyPr upright="1"/>
                      </wps:wsp>
                      <wps:wsp>
                        <wps:cNvPr id="26" name="流程图: 过程 26"/>
                        <wps:cNvSpPr/>
                        <wps:spPr>
                          <a:xfrm>
                            <a:off x="5810" y="334576"/>
                            <a:ext cx="160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3B585128">
                              <w:pPr>
                                <w:jc w:val="center"/>
                                <w:rPr>
                                  <w:rFonts w:ascii="仿宋" w:hAnsi="仿宋" w:eastAsia="仿宋" w:cs="仿宋"/>
                                </w:rPr>
                              </w:pPr>
                              <w:r>
                                <w:rPr>
                                  <w:rFonts w:hint="eastAsia" w:ascii="仿宋" w:hAnsi="仿宋" w:eastAsia="仿宋" w:cs="仿宋"/>
                                </w:rPr>
                                <w:t>通信保障</w:t>
                              </w:r>
                            </w:p>
                          </w:txbxContent>
                        </wps:txbx>
                        <wps:bodyPr upright="1"/>
                      </wps:wsp>
                      <wps:wsp>
                        <wps:cNvPr id="27" name="流程图: 过程 27"/>
                        <wps:cNvSpPr/>
                        <wps:spPr>
                          <a:xfrm>
                            <a:off x="5803" y="335327"/>
                            <a:ext cx="160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7C106254">
                              <w:pPr>
                                <w:jc w:val="center"/>
                                <w:rPr>
                                  <w:rFonts w:ascii="仿宋" w:hAnsi="仿宋" w:eastAsia="仿宋" w:cs="仿宋"/>
                                </w:rPr>
                              </w:pPr>
                              <w:r>
                                <w:rPr>
                                  <w:rFonts w:hint="eastAsia" w:ascii="仿宋" w:hAnsi="仿宋" w:eastAsia="仿宋" w:cs="仿宋"/>
                                </w:rPr>
                                <w:t>应急能力保障</w:t>
                              </w:r>
                            </w:p>
                          </w:txbxContent>
                        </wps:txbx>
                        <wps:bodyPr upright="1"/>
                      </wps:wsp>
                      <wps:wsp>
                        <wps:cNvPr id="28" name="直接连接符 28"/>
                        <wps:cNvCnPr/>
                        <wps:spPr>
                          <a:xfrm flipH="1">
                            <a:off x="11718" y="332565"/>
                            <a:ext cx="7" cy="3289"/>
                          </a:xfrm>
                          <a:prstGeom prst="line">
                            <a:avLst/>
                          </a:prstGeom>
                          <a:ln w="9525" cap="flat" cmpd="sng">
                            <a:solidFill>
                              <a:srgbClr val="000000"/>
                            </a:solidFill>
                            <a:prstDash val="solid"/>
                            <a:round/>
                            <a:headEnd type="none" w="med" len="med"/>
                            <a:tailEnd type="none" w="med" len="med"/>
                          </a:ln>
                        </wps:spPr>
                        <wps:bodyPr/>
                      </wps:wsp>
                      <wps:wsp>
                        <wps:cNvPr id="29" name="直接连接符 29"/>
                        <wps:cNvCnPr/>
                        <wps:spPr>
                          <a:xfrm flipH="1">
                            <a:off x="11728" y="332569"/>
                            <a:ext cx="540" cy="0"/>
                          </a:xfrm>
                          <a:prstGeom prst="line">
                            <a:avLst/>
                          </a:prstGeom>
                          <a:ln w="9525" cap="flat" cmpd="sng">
                            <a:solidFill>
                              <a:srgbClr val="000000"/>
                            </a:solidFill>
                            <a:prstDash val="solid"/>
                            <a:round/>
                            <a:headEnd type="none" w="med" len="med"/>
                            <a:tailEnd type="none" w="med" len="med"/>
                          </a:ln>
                        </wps:spPr>
                        <wps:bodyPr/>
                      </wps:wsp>
                      <wps:wsp>
                        <wps:cNvPr id="30" name="流程图: 过程 30"/>
                        <wps:cNvSpPr/>
                        <wps:spPr>
                          <a:xfrm>
                            <a:off x="12266" y="33233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5BEAECE6">
                              <w:pPr>
                                <w:jc w:val="center"/>
                                <w:rPr>
                                  <w:rStyle w:val="15"/>
                                  <w:rFonts w:ascii="仿宋" w:hAnsi="仿宋" w:eastAsia="仿宋" w:cs="仿宋"/>
                                  <w:sz w:val="21"/>
                                </w:rPr>
                              </w:pPr>
                              <w:r>
                                <w:rPr>
                                  <w:rStyle w:val="15"/>
                                  <w:rFonts w:hint="eastAsia" w:ascii="仿宋" w:hAnsi="仿宋" w:eastAsia="仿宋" w:cs="仿宋"/>
                                  <w:sz w:val="21"/>
                                </w:rPr>
                                <w:t>应急综合保障组</w:t>
                              </w:r>
                            </w:p>
                          </w:txbxContent>
                        </wps:txbx>
                        <wps:bodyPr upright="1"/>
                      </wps:wsp>
                      <wps:wsp>
                        <wps:cNvPr id="31" name="直接连接符 31"/>
                        <wps:cNvCnPr/>
                        <wps:spPr>
                          <a:xfrm flipH="1">
                            <a:off x="11728" y="333129"/>
                            <a:ext cx="540" cy="0"/>
                          </a:xfrm>
                          <a:prstGeom prst="line">
                            <a:avLst/>
                          </a:prstGeom>
                          <a:ln w="9525" cap="flat" cmpd="sng">
                            <a:solidFill>
                              <a:srgbClr val="000000"/>
                            </a:solidFill>
                            <a:prstDash val="solid"/>
                            <a:round/>
                            <a:headEnd type="none" w="med" len="med"/>
                            <a:tailEnd type="none" w="med" len="med"/>
                          </a:ln>
                        </wps:spPr>
                        <wps:bodyPr/>
                      </wps:wsp>
                      <wps:wsp>
                        <wps:cNvPr id="32" name="流程图: 过程 32"/>
                        <wps:cNvSpPr/>
                        <wps:spPr>
                          <a:xfrm>
                            <a:off x="12266" y="33288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262E684E">
                              <w:pPr>
                                <w:jc w:val="center"/>
                                <w:rPr>
                                  <w:rStyle w:val="15"/>
                                  <w:rFonts w:ascii="仿宋" w:hAnsi="仿宋" w:eastAsia="仿宋" w:cs="仿宋"/>
                                  <w:sz w:val="21"/>
                                </w:rPr>
                              </w:pPr>
                              <w:r>
                                <w:rPr>
                                  <w:rStyle w:val="15"/>
                                  <w:rFonts w:hint="eastAsia" w:ascii="仿宋" w:hAnsi="仿宋" w:eastAsia="仿宋" w:cs="仿宋"/>
                                  <w:sz w:val="21"/>
                                </w:rPr>
                                <w:t>现场处置组</w:t>
                              </w:r>
                            </w:p>
                          </w:txbxContent>
                        </wps:txbx>
                        <wps:bodyPr upright="1"/>
                      </wps:wsp>
                      <wps:wsp>
                        <wps:cNvPr id="33" name="直接连接符 33"/>
                        <wps:cNvCnPr/>
                        <wps:spPr>
                          <a:xfrm flipH="1">
                            <a:off x="11728" y="333669"/>
                            <a:ext cx="540" cy="0"/>
                          </a:xfrm>
                          <a:prstGeom prst="line">
                            <a:avLst/>
                          </a:prstGeom>
                          <a:ln w="9525" cap="flat" cmpd="sng">
                            <a:solidFill>
                              <a:srgbClr val="000000"/>
                            </a:solidFill>
                            <a:prstDash val="solid"/>
                            <a:round/>
                            <a:headEnd type="none" w="med" len="med"/>
                            <a:tailEnd type="none" w="med" len="med"/>
                          </a:ln>
                        </wps:spPr>
                        <wps:bodyPr/>
                      </wps:wsp>
                      <wps:wsp>
                        <wps:cNvPr id="34" name="流程图: 过程 34"/>
                        <wps:cNvSpPr/>
                        <wps:spPr>
                          <a:xfrm>
                            <a:off x="12276" y="33345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7BB36F78">
                              <w:pPr>
                                <w:jc w:val="center"/>
                                <w:rPr>
                                  <w:rStyle w:val="15"/>
                                  <w:rFonts w:ascii="仿宋" w:hAnsi="仿宋" w:eastAsia="仿宋" w:cs="仿宋"/>
                                  <w:sz w:val="21"/>
                                </w:rPr>
                              </w:pPr>
                              <w:r>
                                <w:rPr>
                                  <w:rStyle w:val="15"/>
                                  <w:rFonts w:hint="eastAsia" w:ascii="仿宋" w:hAnsi="仿宋" w:eastAsia="仿宋" w:cs="仿宋"/>
                                  <w:sz w:val="21"/>
                                </w:rPr>
                                <w:t>技术组</w:t>
                              </w:r>
                            </w:p>
                          </w:txbxContent>
                        </wps:txbx>
                        <wps:bodyPr upright="1"/>
                      </wps:wsp>
                      <wps:wsp>
                        <wps:cNvPr id="35" name="直接连接符 35"/>
                        <wps:cNvCnPr/>
                        <wps:spPr>
                          <a:xfrm flipH="1">
                            <a:off x="11728" y="334259"/>
                            <a:ext cx="540" cy="0"/>
                          </a:xfrm>
                          <a:prstGeom prst="line">
                            <a:avLst/>
                          </a:prstGeom>
                          <a:ln w="9525" cap="flat" cmpd="sng">
                            <a:solidFill>
                              <a:srgbClr val="000000"/>
                            </a:solidFill>
                            <a:prstDash val="solid"/>
                            <a:round/>
                            <a:headEnd type="none" w="med" len="med"/>
                            <a:tailEnd type="none" w="med" len="med"/>
                          </a:ln>
                        </wps:spPr>
                        <wps:bodyPr/>
                      </wps:wsp>
                      <wps:wsp>
                        <wps:cNvPr id="36" name="流程图: 过程 36"/>
                        <wps:cNvSpPr/>
                        <wps:spPr>
                          <a:xfrm>
                            <a:off x="12276" y="33401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0DE510C8">
                              <w:pPr>
                                <w:jc w:val="center"/>
                                <w:rPr>
                                  <w:rStyle w:val="15"/>
                                  <w:rFonts w:ascii="仿宋" w:hAnsi="仿宋" w:eastAsia="仿宋" w:cs="仿宋"/>
                                  <w:sz w:val="21"/>
                                </w:rPr>
                              </w:pPr>
                              <w:r>
                                <w:rPr>
                                  <w:rStyle w:val="15"/>
                                  <w:rFonts w:hint="eastAsia" w:ascii="仿宋" w:hAnsi="仿宋" w:eastAsia="仿宋" w:cs="仿宋"/>
                                  <w:sz w:val="21"/>
                                </w:rPr>
                                <w:t>案件侦破组</w:t>
                              </w:r>
                            </w:p>
                          </w:txbxContent>
                        </wps:txbx>
                        <wps:bodyPr upright="1"/>
                      </wps:wsp>
                      <wps:wsp>
                        <wps:cNvPr id="37" name="直接连接符 37"/>
                        <wps:cNvCnPr/>
                        <wps:spPr>
                          <a:xfrm flipH="1">
                            <a:off x="11718" y="334789"/>
                            <a:ext cx="540" cy="0"/>
                          </a:xfrm>
                          <a:prstGeom prst="line">
                            <a:avLst/>
                          </a:prstGeom>
                          <a:ln w="9525" cap="flat" cmpd="sng">
                            <a:solidFill>
                              <a:srgbClr val="000000"/>
                            </a:solidFill>
                            <a:prstDash val="solid"/>
                            <a:round/>
                            <a:headEnd type="none" w="med" len="med"/>
                            <a:tailEnd type="none" w="med" len="med"/>
                          </a:ln>
                        </wps:spPr>
                        <wps:bodyPr/>
                      </wps:wsp>
                      <wps:wsp>
                        <wps:cNvPr id="38" name="流程图: 过程 38"/>
                        <wps:cNvSpPr/>
                        <wps:spPr>
                          <a:xfrm>
                            <a:off x="12276" y="33457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61CBFA55">
                              <w:pPr>
                                <w:jc w:val="center"/>
                                <w:rPr>
                                  <w:rStyle w:val="15"/>
                                  <w:rFonts w:ascii="仿宋" w:hAnsi="仿宋" w:eastAsia="仿宋" w:cs="仿宋"/>
                                  <w:sz w:val="21"/>
                                </w:rPr>
                              </w:pPr>
                              <w:r>
                                <w:rPr>
                                  <w:rStyle w:val="15"/>
                                  <w:rFonts w:hint="eastAsia" w:ascii="仿宋" w:hAnsi="仿宋" w:eastAsia="仿宋" w:cs="仿宋"/>
                                  <w:sz w:val="21"/>
                                </w:rPr>
                                <w:t>医疗救护组</w:t>
                              </w:r>
                            </w:p>
                          </w:txbxContent>
                        </wps:txbx>
                        <wps:bodyPr upright="1"/>
                      </wps:wsp>
                      <wps:wsp>
                        <wps:cNvPr id="39" name="直接连接符 39"/>
                        <wps:cNvCnPr/>
                        <wps:spPr>
                          <a:xfrm flipH="1">
                            <a:off x="11738" y="335339"/>
                            <a:ext cx="540" cy="0"/>
                          </a:xfrm>
                          <a:prstGeom prst="line">
                            <a:avLst/>
                          </a:prstGeom>
                          <a:ln w="9525" cap="flat" cmpd="sng">
                            <a:solidFill>
                              <a:srgbClr val="000000"/>
                            </a:solidFill>
                            <a:prstDash val="solid"/>
                            <a:round/>
                            <a:headEnd type="none" w="med" len="med"/>
                            <a:tailEnd type="none" w="med" len="med"/>
                          </a:ln>
                        </wps:spPr>
                        <wps:bodyPr/>
                      </wps:wsp>
                      <wps:wsp>
                        <wps:cNvPr id="40" name="流程图: 过程 40"/>
                        <wps:cNvSpPr/>
                        <wps:spPr>
                          <a:xfrm>
                            <a:off x="12276" y="335109"/>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59205680">
                              <w:pPr>
                                <w:jc w:val="center"/>
                                <w:rPr>
                                  <w:rStyle w:val="15"/>
                                  <w:rFonts w:ascii="仿宋" w:hAnsi="仿宋" w:eastAsia="仿宋" w:cs="仿宋"/>
                                  <w:sz w:val="21"/>
                                </w:rPr>
                              </w:pPr>
                              <w:r>
                                <w:rPr>
                                  <w:rStyle w:val="15"/>
                                  <w:rFonts w:hint="eastAsia" w:ascii="仿宋" w:hAnsi="仿宋" w:eastAsia="仿宋" w:cs="仿宋"/>
                                  <w:sz w:val="21"/>
                                </w:rPr>
                                <w:t>新闻报道组</w:t>
                              </w:r>
                            </w:p>
                          </w:txbxContent>
                        </wps:txbx>
                        <wps:bodyPr upright="1"/>
                      </wps:wsp>
                      <wps:wsp>
                        <wps:cNvPr id="41" name="直接连接符 41"/>
                        <wps:cNvCnPr/>
                        <wps:spPr>
                          <a:xfrm flipH="1">
                            <a:off x="11725" y="335853"/>
                            <a:ext cx="540" cy="0"/>
                          </a:xfrm>
                          <a:prstGeom prst="line">
                            <a:avLst/>
                          </a:prstGeom>
                          <a:ln w="9525" cap="flat" cmpd="sng">
                            <a:solidFill>
                              <a:srgbClr val="000000"/>
                            </a:solidFill>
                            <a:prstDash val="solid"/>
                            <a:round/>
                            <a:headEnd type="none" w="med" len="med"/>
                            <a:tailEnd type="none" w="med" len="med"/>
                          </a:ln>
                        </wps:spPr>
                        <wps:bodyPr/>
                      </wps:wsp>
                      <wps:wsp>
                        <wps:cNvPr id="42" name="流程图: 过程 42"/>
                        <wps:cNvSpPr/>
                        <wps:spPr>
                          <a:xfrm>
                            <a:off x="12279" y="335634"/>
                            <a:ext cx="1932"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0FA0FD6F">
                              <w:pPr>
                                <w:jc w:val="center"/>
                                <w:rPr>
                                  <w:rStyle w:val="15"/>
                                  <w:rFonts w:ascii="仿宋" w:hAnsi="仿宋" w:eastAsia="仿宋" w:cs="仿宋"/>
                                  <w:sz w:val="21"/>
                                </w:rPr>
                              </w:pPr>
                              <w:r>
                                <w:rPr>
                                  <w:rStyle w:val="15"/>
                                  <w:rFonts w:hint="eastAsia" w:ascii="仿宋" w:hAnsi="仿宋" w:eastAsia="仿宋" w:cs="仿宋"/>
                                  <w:sz w:val="21"/>
                                </w:rPr>
                                <w:t>事发单位</w:t>
                              </w:r>
                            </w:p>
                          </w:txbxContent>
                        </wps:txbx>
                        <wps:bodyPr upright="1"/>
                      </wps:wsp>
                      <wps:wsp>
                        <wps:cNvPr id="43" name="直接箭头连接符 43"/>
                        <wps:cNvCnPr>
                          <a:stCxn id="2" idx="2"/>
                          <a:endCxn id="7" idx="0"/>
                        </wps:cNvCnPr>
                        <wps:spPr>
                          <a:xfrm>
                            <a:off x="11504" y="330367"/>
                            <a:ext cx="659" cy="14"/>
                          </a:xfrm>
                          <a:prstGeom prst="straightConnector1">
                            <a:avLst/>
                          </a:prstGeom>
                          <a:ln w="9525" cap="flat" cmpd="sng">
                            <a:solidFill>
                              <a:srgbClr val="000000"/>
                            </a:solidFill>
                            <a:prstDash val="solid"/>
                            <a:round/>
                            <a:headEnd type="none" w="med" len="med"/>
                            <a:tailEnd type="triangle" w="med" len="med"/>
                          </a:ln>
                        </wps:spPr>
                        <wps:bodyPr/>
                      </wps:wsp>
                      <wps:wsp>
                        <wps:cNvPr id="44" name="直接连接符 44"/>
                        <wps:cNvCnPr/>
                        <wps:spPr>
                          <a:xfrm>
                            <a:off x="12163" y="329867"/>
                            <a:ext cx="6" cy="1045"/>
                          </a:xfrm>
                          <a:prstGeom prst="line">
                            <a:avLst/>
                          </a:prstGeom>
                          <a:ln w="9525" cap="flat" cmpd="sng">
                            <a:solidFill>
                              <a:srgbClr val="000000"/>
                            </a:solidFill>
                            <a:prstDash val="solid"/>
                            <a:round/>
                            <a:headEnd type="none" w="med" len="med"/>
                            <a:tailEnd type="none" w="med" len="med"/>
                          </a:ln>
                        </wps:spPr>
                        <wps:bodyPr/>
                      </wps:wsp>
                      <wps:wsp>
                        <wps:cNvPr id="45" name="直接连接符 45"/>
                        <wps:cNvCnPr/>
                        <wps:spPr>
                          <a:xfrm flipH="1">
                            <a:off x="12166" y="329877"/>
                            <a:ext cx="540" cy="0"/>
                          </a:xfrm>
                          <a:prstGeom prst="line">
                            <a:avLst/>
                          </a:prstGeom>
                          <a:ln w="9525" cap="flat" cmpd="sng">
                            <a:solidFill>
                              <a:srgbClr val="000000"/>
                            </a:solidFill>
                            <a:prstDash val="solid"/>
                            <a:round/>
                            <a:headEnd type="none" w="med" len="med"/>
                            <a:tailEnd type="none" w="med" len="med"/>
                          </a:ln>
                        </wps:spPr>
                        <wps:bodyPr/>
                      </wps:wsp>
                      <wps:wsp>
                        <wps:cNvPr id="46" name="流程图: 过程 46"/>
                        <wps:cNvSpPr/>
                        <wps:spPr>
                          <a:xfrm>
                            <a:off x="12699" y="329629"/>
                            <a:ext cx="126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1B5703A7">
                              <w:pPr>
                                <w:jc w:val="center"/>
                                <w:rPr>
                                  <w:rFonts w:eastAsia="仿宋"/>
                                </w:rPr>
                              </w:pPr>
                              <w:r>
                                <w:rPr>
                                  <w:rFonts w:hint="eastAsia" w:eastAsia="仿宋"/>
                                </w:rPr>
                                <w:t>Ⅰ级响应</w:t>
                              </w:r>
                            </w:p>
                            <w:p w14:paraId="0AC7C451">
                              <w:pPr>
                                <w:rPr>
                                  <w:rStyle w:val="15"/>
                                  <w:rFonts w:ascii="Calibri" w:hAnsi="Calibri"/>
                                  <w:sz w:val="21"/>
                                </w:rPr>
                              </w:pPr>
                            </w:p>
                          </w:txbxContent>
                        </wps:txbx>
                        <wps:bodyPr upright="1"/>
                      </wps:wsp>
                      <wps:wsp>
                        <wps:cNvPr id="47" name="流程图: 过程 47"/>
                        <wps:cNvSpPr/>
                        <wps:spPr>
                          <a:xfrm>
                            <a:off x="12711" y="330660"/>
                            <a:ext cx="126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49FB4204">
                              <w:pPr>
                                <w:jc w:val="center"/>
                                <w:rPr>
                                  <w:rFonts w:ascii="仿宋" w:hAnsi="仿宋" w:eastAsia="仿宋" w:cs="仿宋"/>
                                </w:rPr>
                              </w:pPr>
                              <w:r>
                                <w:rPr>
                                  <w:rFonts w:hint="eastAsia" w:ascii="仿宋" w:hAnsi="仿宋" w:eastAsia="仿宋" w:cs="仿宋"/>
                                </w:rPr>
                                <w:t>Ⅲ级响应</w:t>
                              </w:r>
                            </w:p>
                            <w:p w14:paraId="1742B0A6">
                              <w:pPr>
                                <w:rPr>
                                  <w:rStyle w:val="15"/>
                                  <w:rFonts w:ascii="Calibri" w:hAnsi="Calibri"/>
                                  <w:sz w:val="21"/>
                                </w:rPr>
                              </w:pPr>
                            </w:p>
                          </w:txbxContent>
                        </wps:txbx>
                        <wps:bodyPr upright="1"/>
                      </wps:wsp>
                      <wps:wsp>
                        <wps:cNvPr id="48" name="直接连接符 48"/>
                        <wps:cNvCnPr/>
                        <wps:spPr>
                          <a:xfrm flipH="1">
                            <a:off x="12157" y="330388"/>
                            <a:ext cx="540" cy="0"/>
                          </a:xfrm>
                          <a:prstGeom prst="line">
                            <a:avLst/>
                          </a:prstGeom>
                          <a:ln w="9525" cap="flat" cmpd="sng">
                            <a:solidFill>
                              <a:srgbClr val="000000"/>
                            </a:solidFill>
                            <a:prstDash val="solid"/>
                            <a:round/>
                            <a:headEnd type="none" w="med" len="med"/>
                            <a:tailEnd type="none" w="med" len="med"/>
                          </a:ln>
                        </wps:spPr>
                        <wps:bodyPr/>
                      </wps:wsp>
                      <wps:wsp>
                        <wps:cNvPr id="49" name="直接连接符 49"/>
                        <wps:cNvCnPr/>
                        <wps:spPr>
                          <a:xfrm flipH="1">
                            <a:off x="12166" y="330900"/>
                            <a:ext cx="540" cy="0"/>
                          </a:xfrm>
                          <a:prstGeom prst="line">
                            <a:avLst/>
                          </a:prstGeom>
                          <a:ln w="9525" cap="flat" cmpd="sng">
                            <a:solidFill>
                              <a:srgbClr val="000000"/>
                            </a:solidFill>
                            <a:prstDash val="solid"/>
                            <a:round/>
                            <a:headEnd type="none" w="med" len="med"/>
                            <a:tailEnd type="none" w="med" len="med"/>
                          </a:ln>
                        </wps:spPr>
                        <wps:bodyPr/>
                      </wps:wsp>
                      <wps:wsp>
                        <wps:cNvPr id="50" name="流程图: 过程 50"/>
                        <wps:cNvSpPr/>
                        <wps:spPr>
                          <a:xfrm>
                            <a:off x="12705" y="330153"/>
                            <a:ext cx="1260" cy="467"/>
                          </a:xfrm>
                          <a:prstGeom prst="flowChartProcess">
                            <a:avLst/>
                          </a:prstGeom>
                          <a:solidFill>
                            <a:srgbClr val="FFFFFF"/>
                          </a:solidFill>
                          <a:ln w="6350" cap="flat" cmpd="sng">
                            <a:solidFill>
                              <a:srgbClr val="000000"/>
                            </a:solidFill>
                            <a:prstDash val="solid"/>
                            <a:miter/>
                            <a:headEnd type="none" w="med" len="med"/>
                            <a:tailEnd type="none" w="med" len="med"/>
                          </a:ln>
                        </wps:spPr>
                        <wps:txbx>
                          <w:txbxContent>
                            <w:p w14:paraId="07BED7E8">
                              <w:pPr>
                                <w:jc w:val="center"/>
                                <w:rPr>
                                  <w:rFonts w:eastAsia="仿宋"/>
                                </w:rPr>
                              </w:pPr>
                              <w:r>
                                <w:rPr>
                                  <w:rFonts w:hint="eastAsia" w:eastAsia="仿宋"/>
                                </w:rPr>
                                <w:t>Ⅱ级响应</w:t>
                              </w:r>
                            </w:p>
                            <w:p w14:paraId="7ECD70E5">
                              <w:pPr>
                                <w:rPr>
                                  <w:rStyle w:val="15"/>
                                  <w:rFonts w:ascii="Calibri" w:hAnsi="Calibri"/>
                                  <w:sz w:val="21"/>
                                </w:rPr>
                              </w:pPr>
                            </w:p>
                          </w:txbxContent>
                        </wps:txbx>
                        <wps:bodyPr upright="1"/>
                      </wps:wsp>
                      <wps:wsp>
                        <wps:cNvPr id="51" name="直接连接符 51"/>
                        <wps:cNvCnPr/>
                        <wps:spPr>
                          <a:xfrm>
                            <a:off x="14496" y="329872"/>
                            <a:ext cx="0" cy="1013"/>
                          </a:xfrm>
                          <a:prstGeom prst="line">
                            <a:avLst/>
                          </a:prstGeom>
                          <a:ln w="9525" cap="flat" cmpd="sng">
                            <a:solidFill>
                              <a:srgbClr val="000000"/>
                            </a:solidFill>
                            <a:prstDash val="solid"/>
                            <a:round/>
                            <a:headEnd type="none" w="med" len="med"/>
                            <a:tailEnd type="none" w="med" len="med"/>
                          </a:ln>
                        </wps:spPr>
                        <wps:bodyPr/>
                      </wps:wsp>
                      <wps:wsp>
                        <wps:cNvPr id="52" name="直接连接符 52"/>
                        <wps:cNvCnPr/>
                        <wps:spPr>
                          <a:xfrm rot="-10800000" flipV="1">
                            <a:off x="13967" y="329883"/>
                            <a:ext cx="540" cy="0"/>
                          </a:xfrm>
                          <a:prstGeom prst="line">
                            <a:avLst/>
                          </a:prstGeom>
                          <a:ln w="9525" cap="flat" cmpd="sng">
                            <a:solidFill>
                              <a:srgbClr val="000000"/>
                            </a:solidFill>
                            <a:prstDash val="solid"/>
                            <a:round/>
                            <a:headEnd type="none" w="med" len="med"/>
                            <a:tailEnd type="none" w="med" len="med"/>
                          </a:ln>
                        </wps:spPr>
                        <wps:bodyPr/>
                      </wps:wsp>
                      <wps:wsp>
                        <wps:cNvPr id="53" name="直接连接符 53"/>
                        <wps:cNvCnPr/>
                        <wps:spPr>
                          <a:xfrm rot="-10800000" flipV="1">
                            <a:off x="13956" y="330401"/>
                            <a:ext cx="540" cy="0"/>
                          </a:xfrm>
                          <a:prstGeom prst="line">
                            <a:avLst/>
                          </a:prstGeom>
                          <a:ln w="9525" cap="flat" cmpd="sng">
                            <a:solidFill>
                              <a:srgbClr val="000000"/>
                            </a:solidFill>
                            <a:prstDash val="solid"/>
                            <a:round/>
                            <a:headEnd type="none" w="med" len="med"/>
                            <a:tailEnd type="none" w="med" len="med"/>
                          </a:ln>
                        </wps:spPr>
                        <wps:bodyPr/>
                      </wps:wsp>
                      <wps:wsp>
                        <wps:cNvPr id="54" name="直接连接符 54"/>
                        <wps:cNvCnPr/>
                        <wps:spPr>
                          <a:xfrm flipH="1" flipV="1">
                            <a:off x="14496" y="330397"/>
                            <a:ext cx="444" cy="7"/>
                          </a:xfrm>
                          <a:prstGeom prst="line">
                            <a:avLst/>
                          </a:prstGeom>
                          <a:ln w="9525" cap="flat" cmpd="sng">
                            <a:solidFill>
                              <a:srgbClr val="000000"/>
                            </a:solidFill>
                            <a:prstDash val="solid"/>
                            <a:round/>
                            <a:headEnd type="none" w="med" len="med"/>
                            <a:tailEnd type="none" w="med" len="med"/>
                          </a:ln>
                        </wps:spPr>
                        <wps:bodyPr/>
                      </wps:wsp>
                      <wps:wsp>
                        <wps:cNvPr id="55" name="直接连接符 55"/>
                        <wps:cNvCnPr/>
                        <wps:spPr>
                          <a:xfrm rot="-10800000" flipV="1">
                            <a:off x="13978" y="330886"/>
                            <a:ext cx="540" cy="0"/>
                          </a:xfrm>
                          <a:prstGeom prst="line">
                            <a:avLst/>
                          </a:prstGeom>
                          <a:ln w="9525" cap="flat" cmpd="sng">
                            <a:solidFill>
                              <a:srgbClr val="000000"/>
                            </a:solidFill>
                            <a:prstDash val="solid"/>
                            <a:round/>
                            <a:headEnd type="none" w="med" len="med"/>
                            <a:tailEnd type="none" w="med" len="med"/>
                          </a:ln>
                        </wps:spPr>
                        <wps:bodyPr/>
                      </wps:wsp>
                      <wps:wsp>
                        <wps:cNvPr id="56" name="肘形连接符 56"/>
                        <wps:cNvCnPr>
                          <a:stCxn id="2" idx="2"/>
                          <a:endCxn id="7" idx="0"/>
                        </wps:cNvCnPr>
                        <wps:spPr>
                          <a:xfrm rot="5400000">
                            <a:off x="13941" y="330438"/>
                            <a:ext cx="1020" cy="960"/>
                          </a:xfrm>
                          <a:prstGeom prst="bentConnector3">
                            <a:avLst>
                              <a:gd name="adj1" fmla="val 80981"/>
                            </a:avLst>
                          </a:prstGeom>
                          <a:ln w="9525" cap="flat" cmpd="sng">
                            <a:solidFill>
                              <a:srgbClr val="000000"/>
                            </a:solidFill>
                            <a:prstDash val="solid"/>
                            <a:round/>
                            <a:headEnd type="none" w="med" len="med"/>
                            <a:tailEnd type="triangle" w="med" len="med"/>
                          </a:ln>
                        </wps:spPr>
                        <wps:bodyPr/>
                      </wps:wsp>
                      <wps:wsp>
                        <wps:cNvPr id="57" name="肘形连接符 57"/>
                        <wps:cNvCnPr>
                          <a:stCxn id="2" idx="2"/>
                          <a:endCxn id="14" idx="3"/>
                        </wps:cNvCnPr>
                        <wps:spPr>
                          <a:xfrm rot="-10800000" flipV="1">
                            <a:off x="10240" y="332268"/>
                            <a:ext cx="4584" cy="4473"/>
                          </a:xfrm>
                          <a:prstGeom prst="bentConnector3">
                            <a:avLst>
                              <a:gd name="adj1" fmla="val 370"/>
                            </a:avLst>
                          </a:prstGeom>
                          <a:ln w="9525" cap="flat" cmpd="sng">
                            <a:solidFill>
                              <a:srgbClr val="000000"/>
                            </a:solidFill>
                            <a:prstDash val="solid"/>
                            <a:round/>
                            <a:headEnd type="none" w="med" len="med"/>
                            <a:tailEnd type="triangle" w="med" len="med"/>
                          </a:ln>
                        </wps:spPr>
                        <wps:bodyPr/>
                      </wps:wsp>
                    </wpg:wgp>
                  </a:graphicData>
                </a:graphic>
              </wp:anchor>
            </w:drawing>
          </mc:Choice>
          <mc:Fallback>
            <w:pict>
              <v:group id="_x0000_s1026" o:spid="_x0000_s1026" o:spt="203" style="position:absolute;left:0pt;margin-left:-20.8pt;margin-top:67.85pt;height:485.95pt;width:468.55pt;z-index:251659264;mso-width-relative:page;mso-height-relative:page;" coordorigin="5803,328304" coordsize="9371,9719" o:gfxdata="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">
                <o:lock v:ext="edit" aspectratio="f"/>
                <v:shape id="_x0000_s1026" o:spid="_x0000_s1026" o:spt="32" type="#_x0000_t32" style="position:absolute;left:10431;top:334094;height:1;width:1278;" filled="f" stroked="t" coordsize="21600,21600" o:gfxdata="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Dt3V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8765;top:331464;height:467;width:1260;" fillcolor="#FFFFFF" filled="t" stroked="t" coordsize="21600,21600" o:gfxdata="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VjpfugAAANo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7361447D">
                        <w:pPr>
                          <w:jc w:val="center"/>
                          <w:rPr>
                            <w:rFonts w:eastAsia="仿宋"/>
                          </w:rPr>
                        </w:pPr>
                        <w:r>
                          <w:rPr>
                            <w:rFonts w:eastAsia="仿宋"/>
                          </w:rPr>
                          <w:t>Ⅳ级响应</w:t>
                        </w:r>
                      </w:p>
                      <w:p w14:paraId="1B58A46A">
                        <w:pPr>
                          <w:rPr>
                            <w:rStyle w:val="15"/>
                            <w:rFonts w:ascii="Calibri" w:hAnsi="Calibri"/>
                            <w:sz w:val="21"/>
                          </w:rPr>
                        </w:pPr>
                      </w:p>
                    </w:txbxContent>
                  </v:textbox>
                </v:shape>
                <v:shape id="_x0000_s1026" o:spid="_x0000_s1026" o:spt="82" type="#_x0000_t82" style="position:absolute;left:7862;top:328811;height:1216;width:3399;" fillcolor="#FFFFFF" filled="t" stroked="t" coordsize="21600,21600" o:gfxdata="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6jRp7sAAADa&#10;AAAADwAAAAAAAAABACAAAAAiAAAAZHJzL2Rvd25yZXYueG1sUEsBAhQAFAAAAAgAh07iQDMvBZ47&#10;AAAAOQAAABAAAAAAAAAAAQAgAAAACgEAAGRycy9zaGFwZXhtbC54bWxQSwUGAAAAAAYABgBbAQAA&#10;tAMAAAAA&#10;" adj="5400,8217,2700,9508">
                  <v:fill on="t" focussize="0,0"/>
                  <v:stroke weight="0.5pt" color="#000000" joinstyle="miter"/>
                  <v:imagedata o:title=""/>
                  <o:lock v:ext="edit" aspectratio="f"/>
                  <v:textbox>
                    <w:txbxContent>
                      <w:p w14:paraId="0D8F7891">
                        <w:pPr>
                          <w:jc w:val="center"/>
                          <w:rPr>
                            <w:rFonts w:ascii="仿宋" w:hAnsi="仿宋" w:eastAsia="仿宋" w:cs="仿宋"/>
                          </w:rPr>
                        </w:pPr>
                        <w:r>
                          <w:rPr>
                            <w:rFonts w:hint="eastAsia" w:ascii="仿宋" w:hAnsi="仿宋" w:eastAsia="仿宋" w:cs="仿宋"/>
                          </w:rPr>
                          <w:t>县指挥部办公室信息接收与处置</w:t>
                        </w:r>
                      </w:p>
                    </w:txbxContent>
                  </v:textbox>
                </v:shape>
                <v:shape id="_x0000_s1026" o:spid="_x0000_s1026" o:spt="109" type="#_x0000_t109" style="position:absolute;left:7403;top:330088;height:542;width:4074;" fillcolor="#FFFFFF" filled="t" stroked="t" coordsize="21600,21600" o:gfxdata="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PzB7C5AAAA2g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14:paraId="4FCF871A">
                        <w:pPr>
                          <w:jc w:val="center"/>
                          <w:rPr>
                            <w:rFonts w:ascii="仿宋" w:hAnsi="仿宋" w:eastAsia="仿宋" w:cs="仿宋"/>
                          </w:rPr>
                        </w:pPr>
                        <w:r>
                          <w:rPr>
                            <w:rFonts w:hint="eastAsia" w:ascii="仿宋" w:hAnsi="仿宋" w:eastAsia="仿宋" w:cs="仿宋"/>
                          </w:rPr>
                          <w:t>县指挥部初判事件等级，启动应急响应</w:t>
                        </w:r>
                      </w:p>
                    </w:txbxContent>
                  </v:textbox>
                </v:shape>
                <v:shape id="_x0000_s1026" o:spid="_x0000_s1026" o:spt="32" type="#_x0000_t32" style="position:absolute;left:9392;top:331931;flip:x;height:1773;width:3;" filled="f" stroked="t" coordsize="21600,21600" o:gfxdata="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8BS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8169;top:328304;height:480;width:2685;" fillcolor="#FFFFFF"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64A15AE3">
                        <w:pPr>
                          <w:jc w:val="center"/>
                          <w:rPr>
                            <w:rFonts w:ascii="仿宋" w:hAnsi="仿宋" w:eastAsia="仿宋" w:cs="仿宋"/>
                          </w:rPr>
                        </w:pPr>
                        <w:r>
                          <w:rPr>
                            <w:rFonts w:hint="eastAsia" w:ascii="仿宋" w:hAnsi="仿宋" w:eastAsia="仿宋" w:cs="仿宋"/>
                          </w:rPr>
                          <w:t>辐射事故发生</w:t>
                        </w:r>
                      </w:p>
                    </w:txbxContent>
                  </v:textbox>
                </v:shape>
                <v:shape id="_x0000_s1026" o:spid="_x0000_s1026" o:spt="202" type="#_x0000_t202" style="position:absolute;left:8364;top:333704;height:809;width:2056;" fillcolor="#FFFFFF"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580B42C0">
                        <w:pPr>
                          <w:jc w:val="center"/>
                          <w:rPr>
                            <w:rFonts w:ascii="仿宋" w:hAnsi="仿宋" w:eastAsia="仿宋" w:cs="仿宋"/>
                          </w:rPr>
                        </w:pPr>
                        <w:r>
                          <w:rPr>
                            <w:rFonts w:hint="eastAsia" w:ascii="仿宋" w:hAnsi="仿宋" w:eastAsia="仿宋" w:cs="仿宋"/>
                          </w:rPr>
                          <w:t>成立现场指挥部组织开展应急处置</w:t>
                        </w:r>
                      </w:p>
                    </w:txbxContent>
                  </v:textbox>
                </v:shape>
                <v:shape id="_x0000_s1026" o:spid="_x0000_s1026" o:spt="32" type="#_x0000_t32" style="position:absolute;left:9406;top:330659;height:802;width:4;"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_x0000_s1026" o:spid="_x0000_s1026" o:spt="32" type="#_x0000_t32" style="position:absolute;left:7956;top:334129;flip:y;height:10;width:408;" filled="f" stroked="t" coordsize="21600,21600" o:gfxdata="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bKV7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11252;top:331453;height:798;width:3923;" fillcolor="#FFFFFF"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14:paraId="19F16E3B">
                        <w:pPr>
                          <w:rPr>
                            <w:rFonts w:ascii="仿宋" w:hAnsi="仿宋" w:eastAsia="仿宋" w:cs="仿宋"/>
                          </w:rPr>
                        </w:pPr>
                        <w:r>
                          <w:rPr>
                            <w:rFonts w:hint="eastAsia" w:ascii="仿宋" w:hAnsi="仿宋" w:eastAsia="仿宋" w:cs="仿宋"/>
                          </w:rPr>
                          <w:t>县辐射事故应急现场指挥部及相关人员到场，县指挥部按要求开展应急工作</w:t>
                        </w:r>
                      </w:p>
                    </w:txbxContent>
                  </v:textbox>
                </v:shape>
                <v:shape id="_x0000_s1026" o:spid="_x0000_s1026" o:spt="32" type="#_x0000_t32" style="position:absolute;left:9356;top:334517;flip:x;height:571;width:71;rotation:524288f;" filled="f" stroked="t" coordsize="21600,21600" o:gfxdata="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uM5twAAANsAAAAP&#10;AAAAAAAAAAEAIAAAACIAAABkcnMvZG93bnJldi54bWxQSwECFAAUAAAACACHTuJAMy8FnjsAAAA5&#10;AAAAEAAAAAAAAAABACAAAAAGAQAAZHJzL3NoYXBleG1sLnhtbFBLBQYAAAAABgAGAFsBAACwAwAA&#10;AAA=&#10;">
                  <v:fill on="f" focussize="0,0"/>
                  <v:stroke color="#000000" joinstyle="round" endarrow="block"/>
                  <v:imagedata o:title=""/>
                  <o:lock v:ext="edit" aspectratio="f"/>
                </v:shape>
                <v:shape id="_x0000_s1026" o:spid="_x0000_s1026" o:spt="202" type="#_x0000_t202" style="position:absolute;left:8573;top:335099;height:809;width:1682;" fillcolor="#FFFFFF"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2F655CCD">
                        <w:pPr>
                          <w:rPr>
                            <w:rFonts w:ascii="仿宋" w:hAnsi="仿宋" w:eastAsia="仿宋" w:cs="仿宋"/>
                          </w:rPr>
                        </w:pPr>
                        <w:r>
                          <w:rPr>
                            <w:rFonts w:hint="eastAsia" w:ascii="仿宋" w:hAnsi="仿宋" w:eastAsia="仿宋" w:cs="仿宋"/>
                          </w:rPr>
                          <w:t>处置结果符合响应终止条件</w:t>
                        </w:r>
                      </w:p>
                    </w:txbxContent>
                  </v:textbox>
                </v:shape>
                <v:shape id="_x0000_s1026" o:spid="_x0000_s1026" o:spt="32" type="#_x0000_t32" style="position:absolute;left:9416;top:335912;flip:x;height:571;width:71;rotation:524288f;" filled="f" stroked="t" coordsize="21600,21600" o:gfxdata="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ZNjVtwAAANsAAAAP&#10;AAAAAAAAAAEAIAAAACIAAABkcnMvZG93bnJldi54bWxQSwECFAAUAAAACACHTuJAMy8FnjsAAAA5&#10;AAAAEAAAAAAAAAABACAAAAAGAQAAZHJzL3NoYXBleG1sLnhtbFBLBQYAAAAABgAGAFsBAACwAwAA&#10;AAA=&#10;">
                  <v:fill on="f" focussize="0,0"/>
                  <v:stroke color="#000000" joinstyle="round" endarrow="block"/>
                  <v:imagedata o:title=""/>
                  <o:lock v:ext="edit" aspectratio="f"/>
                </v:shape>
                <v:shape id="_x0000_s1026" o:spid="_x0000_s1026" o:spt="202" type="#_x0000_t202" style="position:absolute;left:8558;top:336509;height:465;width:1682;" fillcolor="#FFFFFF"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460B8FDF">
                        <w:pPr>
                          <w:jc w:val="center"/>
                          <w:rPr>
                            <w:rFonts w:ascii="仿宋" w:hAnsi="仿宋" w:eastAsia="仿宋" w:cs="仿宋"/>
                          </w:rPr>
                        </w:pPr>
                        <w:r>
                          <w:rPr>
                            <w:rFonts w:hint="eastAsia" w:ascii="仿宋" w:hAnsi="仿宋" w:eastAsia="仿宋" w:cs="仿宋"/>
                          </w:rPr>
                          <w:t>终止响应</w:t>
                        </w:r>
                      </w:p>
                    </w:txbxContent>
                  </v:textbox>
                </v:shape>
                <v:shape id="_x0000_s1026" o:spid="_x0000_s1026" o:spt="32" type="#_x0000_t32" style="position:absolute;left:9388;top:337009;flip:x;height:571;width:71;rotation:524288f;" filled="f" stroked="t" coordsize="21600,21600" o:gfxdata="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B5Tq5AAAA2w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_x0000_s1026" o:spid="_x0000_s1026" o:spt="202" type="#_x0000_t202" style="position:absolute;left:8543;top:337559;height:465;width:1682;" fillcolor="#FFFFFF"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742F5327">
                        <w:pPr>
                          <w:jc w:val="center"/>
                          <w:rPr>
                            <w:rFonts w:ascii="仿宋" w:hAnsi="仿宋" w:eastAsia="仿宋" w:cs="仿宋"/>
                          </w:rPr>
                        </w:pPr>
                        <w:r>
                          <w:rPr>
                            <w:rFonts w:hint="eastAsia" w:ascii="仿宋" w:hAnsi="仿宋" w:eastAsia="仿宋" w:cs="仿宋"/>
                          </w:rPr>
                          <w:t>后期处置</w:t>
                        </w:r>
                      </w:p>
                    </w:txbxContent>
                  </v:textbox>
                </v:shape>
                <v:line id="_x0000_s1026" o:spid="_x0000_s1026" o:spt="20" style="position:absolute;left:7947;top:332721;flip:x;height:2865;width:15;"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430;top:332731;flip:x;height:0;width:54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28;top:333455;flip:x;height:0;width:54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420;top:334138;flip:x;height:0;width:54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12;top:334821;flip:x;height:0;width:54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404;top:335580;flip:x;height:0;width:54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5831;top:332471;height:467;width:1600;" fillcolor="#FFFFFF" filled="t" stroked="t" coordsize="21600,21600" o:gfxdata="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C8a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6369EE6A">
                        <w:pPr>
                          <w:jc w:val="center"/>
                          <w:rPr>
                            <w:rFonts w:ascii="仿宋" w:hAnsi="仿宋" w:eastAsia="仿宋" w:cs="仿宋"/>
                          </w:rPr>
                        </w:pPr>
                        <w:r>
                          <w:rPr>
                            <w:rFonts w:hint="eastAsia" w:ascii="仿宋" w:hAnsi="仿宋" w:eastAsia="仿宋" w:cs="仿宋"/>
                          </w:rPr>
                          <w:t>资金保障</w:t>
                        </w:r>
                      </w:p>
                    </w:txbxContent>
                  </v:textbox>
                </v:shape>
                <v:shape id="_x0000_s1026" o:spid="_x0000_s1026" o:spt="109" type="#_x0000_t109" style="position:absolute;left:5812;top:333203;height:467;width:1618;" fillcolor="#FFFFFF" filled="t" stroked="t" coordsize="21600,21600" o:gfxdata="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m3br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14:paraId="6CBF82D9">
                        <w:pPr>
                          <w:jc w:val="center"/>
                          <w:rPr>
                            <w:rFonts w:ascii="仿宋" w:hAnsi="仿宋" w:eastAsia="仿宋" w:cs="仿宋"/>
                          </w:rPr>
                        </w:pPr>
                        <w:r>
                          <w:rPr>
                            <w:rFonts w:hint="eastAsia" w:ascii="仿宋" w:hAnsi="仿宋" w:eastAsia="仿宋" w:cs="仿宋"/>
                          </w:rPr>
                          <w:t>物资装备保障</w:t>
                        </w:r>
                      </w:p>
                    </w:txbxContent>
                  </v:textbox>
                </v:shape>
                <v:shape id="_x0000_s1026" o:spid="_x0000_s1026" o:spt="109" type="#_x0000_t109" style="position:absolute;left:5813;top:333886;height:467;width:1600;" fillcolor="#FFFFFF" filled="t" stroked="t" coordsize="21600,21600" o:gfxdata="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xRL1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56EF69DC">
                        <w:pPr>
                          <w:jc w:val="center"/>
                          <w:rPr>
                            <w:rFonts w:ascii="仿宋" w:hAnsi="仿宋" w:eastAsia="仿宋" w:cs="仿宋"/>
                          </w:rPr>
                        </w:pPr>
                        <w:r>
                          <w:rPr>
                            <w:rFonts w:hint="eastAsia" w:ascii="仿宋" w:hAnsi="仿宋" w:eastAsia="仿宋" w:cs="仿宋"/>
                          </w:rPr>
                          <w:t>通信保障</w:t>
                        </w:r>
                      </w:p>
                    </w:txbxContent>
                  </v:textbox>
                </v:shape>
                <v:shape id="_x0000_s1026" o:spid="_x0000_s1026" o:spt="109" type="#_x0000_t109" style="position:absolute;left:5810;top:334576;height:467;width:1600;" fillcolor="#FFFFFF" filled="t" stroked="t" coordsize="21600,21600" o:gfxdata="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XjIK5AAAA2w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14:paraId="3B585128">
                        <w:pPr>
                          <w:jc w:val="center"/>
                          <w:rPr>
                            <w:rFonts w:ascii="仿宋" w:hAnsi="仿宋" w:eastAsia="仿宋" w:cs="仿宋"/>
                          </w:rPr>
                        </w:pPr>
                        <w:r>
                          <w:rPr>
                            <w:rFonts w:hint="eastAsia" w:ascii="仿宋" w:hAnsi="仿宋" w:eastAsia="仿宋" w:cs="仿宋"/>
                          </w:rPr>
                          <w:t>通信保障</w:t>
                        </w:r>
                      </w:p>
                    </w:txbxContent>
                  </v:textbox>
                </v:shape>
                <v:shape id="_x0000_s1026" o:spid="_x0000_s1026" o:spt="109" type="#_x0000_t109" style="position:absolute;left:5803;top:335327;height:467;width:1600;" fillcolor="#FFFFFF" filled="t" stroked="t" coordsize="21600,21600" o:gfxdata="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FspGbgAAADb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14:paraId="7C106254">
                        <w:pPr>
                          <w:jc w:val="center"/>
                          <w:rPr>
                            <w:rFonts w:ascii="仿宋" w:hAnsi="仿宋" w:eastAsia="仿宋" w:cs="仿宋"/>
                          </w:rPr>
                        </w:pPr>
                        <w:r>
                          <w:rPr>
                            <w:rFonts w:hint="eastAsia" w:ascii="仿宋" w:hAnsi="仿宋" w:eastAsia="仿宋" w:cs="仿宋"/>
                          </w:rPr>
                          <w:t>应急能力保障</w:t>
                        </w:r>
                      </w:p>
                    </w:txbxContent>
                  </v:textbox>
                </v:shape>
                <v:line id="_x0000_s1026" o:spid="_x0000_s1026" o:spt="20" style="position:absolute;left:11718;top:332565;flip:x;height:3289;width:7;"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1728;top:332569;flip:x;height:0;width:54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66;top:332339;height:467;width:1932;" fillcolor="#FFFFFF" filled="t" stroked="t" coordsize="21600,21600" o:gfxdata="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ayew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w:txbxContent>
                      <w:p w14:paraId="5BEAECE6">
                        <w:pPr>
                          <w:jc w:val="center"/>
                          <w:rPr>
                            <w:rStyle w:val="15"/>
                            <w:rFonts w:ascii="仿宋" w:hAnsi="仿宋" w:eastAsia="仿宋" w:cs="仿宋"/>
                            <w:sz w:val="21"/>
                          </w:rPr>
                        </w:pPr>
                        <w:r>
                          <w:rPr>
                            <w:rStyle w:val="15"/>
                            <w:rFonts w:hint="eastAsia" w:ascii="仿宋" w:hAnsi="仿宋" w:eastAsia="仿宋" w:cs="仿宋"/>
                            <w:sz w:val="21"/>
                          </w:rPr>
                          <w:t>应急综合保障组</w:t>
                        </w:r>
                      </w:p>
                    </w:txbxContent>
                  </v:textbox>
                </v:shape>
                <v:line id="_x0000_s1026" o:spid="_x0000_s1026" o:spt="20" style="position:absolute;left:11728;top:333129;flip:x;height:0;width:54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12266;top:332889;height:467;width:1932;" fillcolor="#FFFFFF" filled="t" stroked="t" coordsize="21600,21600" o:gfxdata="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9Rxc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262E684E">
                        <w:pPr>
                          <w:jc w:val="center"/>
                          <w:rPr>
                            <w:rStyle w:val="15"/>
                            <w:rFonts w:ascii="仿宋" w:hAnsi="仿宋" w:eastAsia="仿宋" w:cs="仿宋"/>
                            <w:sz w:val="21"/>
                          </w:rPr>
                        </w:pPr>
                        <w:r>
                          <w:rPr>
                            <w:rStyle w:val="15"/>
                            <w:rFonts w:hint="eastAsia" w:ascii="仿宋" w:hAnsi="仿宋" w:eastAsia="仿宋" w:cs="仿宋"/>
                            <w:sz w:val="21"/>
                          </w:rPr>
                          <w:t>现场处置组</w:t>
                        </w:r>
                      </w:p>
                    </w:txbxContent>
                  </v:textbox>
                </v:shape>
                <v:line id="_x0000_s1026" o:spid="_x0000_s1026" o:spt="20" style="position:absolute;left:11728;top:333669;flip:x;height:0;width:54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12276;top:333459;height:467;width:1932;" fillcolor="#FFFFFF" filled="t" stroked="t" coordsize="21600,21600" o:gfxdata="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UCGz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7BB36F78">
                        <w:pPr>
                          <w:jc w:val="center"/>
                          <w:rPr>
                            <w:rStyle w:val="15"/>
                            <w:rFonts w:ascii="仿宋" w:hAnsi="仿宋" w:eastAsia="仿宋" w:cs="仿宋"/>
                            <w:sz w:val="21"/>
                          </w:rPr>
                        </w:pPr>
                        <w:r>
                          <w:rPr>
                            <w:rStyle w:val="15"/>
                            <w:rFonts w:hint="eastAsia" w:ascii="仿宋" w:hAnsi="仿宋" w:eastAsia="仿宋" w:cs="仿宋"/>
                            <w:sz w:val="21"/>
                          </w:rPr>
                          <w:t>技术组</w:t>
                        </w:r>
                      </w:p>
                    </w:txbxContent>
                  </v:textbox>
                </v:shape>
                <v:line id="_x0000_s1026" o:spid="_x0000_s1026" o:spt="20" style="position:absolute;left:11728;top:334259;flip:x;height:0;width:54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76;top:334019;height:467;width:1932;" fillcolor="#FFFFFF" filled="t" stroked="t" coordsize="21600,21600" o:gfxdata="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rOGl+5AAAA2w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14:paraId="0DE510C8">
                        <w:pPr>
                          <w:jc w:val="center"/>
                          <w:rPr>
                            <w:rStyle w:val="15"/>
                            <w:rFonts w:ascii="仿宋" w:hAnsi="仿宋" w:eastAsia="仿宋" w:cs="仿宋"/>
                            <w:sz w:val="21"/>
                          </w:rPr>
                        </w:pPr>
                        <w:r>
                          <w:rPr>
                            <w:rStyle w:val="15"/>
                            <w:rFonts w:hint="eastAsia" w:ascii="仿宋" w:hAnsi="仿宋" w:eastAsia="仿宋" w:cs="仿宋"/>
                            <w:sz w:val="21"/>
                          </w:rPr>
                          <w:t>案件侦破组</w:t>
                        </w:r>
                      </w:p>
                    </w:txbxContent>
                  </v:textbox>
                </v:shape>
                <v:line id="_x0000_s1026" o:spid="_x0000_s1026" o:spt="20" style="position:absolute;left:11718;top:334789;flip:x;height:0;width:54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76;top:334579;height:467;width:1932;" fillcolor="#FFFFFF" filled="t" stroked="t" coordsize="21600,21600" o:gfxdata="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HSu2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w:txbxContent>
                      <w:p w14:paraId="61CBFA55">
                        <w:pPr>
                          <w:jc w:val="center"/>
                          <w:rPr>
                            <w:rStyle w:val="15"/>
                            <w:rFonts w:ascii="仿宋" w:hAnsi="仿宋" w:eastAsia="仿宋" w:cs="仿宋"/>
                            <w:sz w:val="21"/>
                          </w:rPr>
                        </w:pPr>
                        <w:r>
                          <w:rPr>
                            <w:rStyle w:val="15"/>
                            <w:rFonts w:hint="eastAsia" w:ascii="仿宋" w:hAnsi="仿宋" w:eastAsia="仿宋" w:cs="仿宋"/>
                            <w:sz w:val="21"/>
                          </w:rPr>
                          <w:t>医疗救护组</w:t>
                        </w:r>
                      </w:p>
                    </w:txbxContent>
                  </v:textbox>
                </v:shape>
                <v:line id="_x0000_s1026" o:spid="_x0000_s1026" o:spt="20" style="position:absolute;left:11738;top:335339;flip:x;height:0;width:54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76;top:335109;height:467;width:1932;" fillcolor="#FFFFFF" filled="t" stroked="t" coordsize="21600,21600" o:gfxdata="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bVTN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w:txbxContent>
                      <w:p w14:paraId="59205680">
                        <w:pPr>
                          <w:jc w:val="center"/>
                          <w:rPr>
                            <w:rStyle w:val="15"/>
                            <w:rFonts w:ascii="仿宋" w:hAnsi="仿宋" w:eastAsia="仿宋" w:cs="仿宋"/>
                            <w:sz w:val="21"/>
                          </w:rPr>
                        </w:pPr>
                        <w:r>
                          <w:rPr>
                            <w:rStyle w:val="15"/>
                            <w:rFonts w:hint="eastAsia" w:ascii="仿宋" w:hAnsi="仿宋" w:eastAsia="仿宋" w:cs="仿宋"/>
                            <w:sz w:val="21"/>
                          </w:rPr>
                          <w:t>新闻报道组</w:t>
                        </w:r>
                      </w:p>
                    </w:txbxContent>
                  </v:textbox>
                </v:shape>
                <v:line id="_x0000_s1026" o:spid="_x0000_s1026" o:spt="20" style="position:absolute;left:11725;top:335853;flip:x;height:0;width:54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279;top:335634;height:467;width:1932;" fillcolor="#FFFFFF" filled="t" stroked="t" coordsize="21600,21600" o:gfxdata="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NvIb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14:paraId="0FA0FD6F">
                        <w:pPr>
                          <w:jc w:val="center"/>
                          <w:rPr>
                            <w:rStyle w:val="15"/>
                            <w:rFonts w:ascii="仿宋" w:hAnsi="仿宋" w:eastAsia="仿宋" w:cs="仿宋"/>
                            <w:sz w:val="21"/>
                          </w:rPr>
                        </w:pPr>
                        <w:r>
                          <w:rPr>
                            <w:rStyle w:val="15"/>
                            <w:rFonts w:hint="eastAsia" w:ascii="仿宋" w:hAnsi="仿宋" w:eastAsia="仿宋" w:cs="仿宋"/>
                            <w:sz w:val="21"/>
                          </w:rPr>
                          <w:t>事发单位</w:t>
                        </w:r>
                      </w:p>
                    </w:txbxContent>
                  </v:textbox>
                </v:shape>
                <v:shape id="_x0000_s1026" o:spid="_x0000_s1026" o:spt="32" type="#_x0000_t32" style="position:absolute;left:11504;top:330367;height:14;width:659;"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12163;top:329867;height:1045;width:6;"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2166;top:329877;flip:x;height:0;width:540;" filled="f" stroked="t" coordsize="21600,21600" o:gfxdata="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mI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699;top:329629;height:467;width:1260;" fillcolor="#FFFFFF" filled="t" stroked="t" coordsize="21600,21600" o:gfxdata="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yGkiugAAANs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14:paraId="1B5703A7">
                        <w:pPr>
                          <w:jc w:val="center"/>
                          <w:rPr>
                            <w:rFonts w:eastAsia="仿宋"/>
                          </w:rPr>
                        </w:pPr>
                        <w:r>
                          <w:rPr>
                            <w:rFonts w:hint="eastAsia" w:eastAsia="仿宋"/>
                          </w:rPr>
                          <w:t>Ⅰ级响应</w:t>
                        </w:r>
                      </w:p>
                      <w:p w14:paraId="0AC7C451">
                        <w:pPr>
                          <w:rPr>
                            <w:rStyle w:val="15"/>
                            <w:rFonts w:ascii="Calibri" w:hAnsi="Calibri"/>
                            <w:sz w:val="21"/>
                          </w:rPr>
                        </w:pPr>
                      </w:p>
                    </w:txbxContent>
                  </v:textbox>
                </v:shape>
                <v:shape id="_x0000_s1026" o:spid="_x0000_s1026" o:spt="109" type="#_x0000_t109" style="position:absolute;left:12711;top:330660;height:467;width:1260;" fillcolor="#FFFFFF" filled="t" stroked="t" coordsize="21600,21600" o:gfxdata="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TMub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14:paraId="49FB4204">
                        <w:pPr>
                          <w:jc w:val="center"/>
                          <w:rPr>
                            <w:rFonts w:ascii="仿宋" w:hAnsi="仿宋" w:eastAsia="仿宋" w:cs="仿宋"/>
                          </w:rPr>
                        </w:pPr>
                        <w:r>
                          <w:rPr>
                            <w:rFonts w:hint="eastAsia" w:ascii="仿宋" w:hAnsi="仿宋" w:eastAsia="仿宋" w:cs="仿宋"/>
                          </w:rPr>
                          <w:t>Ⅲ级响应</w:t>
                        </w:r>
                      </w:p>
                      <w:p w14:paraId="1742B0A6">
                        <w:pPr>
                          <w:rPr>
                            <w:rStyle w:val="15"/>
                            <w:rFonts w:ascii="Calibri" w:hAnsi="Calibri"/>
                            <w:sz w:val="21"/>
                          </w:rPr>
                        </w:pPr>
                      </w:p>
                    </w:txbxContent>
                  </v:textbox>
                </v:shape>
                <v:line id="_x0000_s1026" o:spid="_x0000_s1026" o:spt="20" style="position:absolute;left:12157;top:330388;flip:x;height:0;width:540;" filled="f" stroked="t" coordsize="21600,21600" o:gfxdata="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3zZ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2166;top:330900;flip:x;height:0;width:540;" filled="f" stroked="t" coordsize="21600,21600" o:gfxdata="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g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9" type="#_x0000_t109" style="position:absolute;left:12705;top:330153;height:467;width:1260;" fillcolor="#FFFFFF" filled="t" stroked="t" coordsize="21600,21600" o:gfxdata="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tMIQ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w:txbxContent>
                      <w:p w14:paraId="07BED7E8">
                        <w:pPr>
                          <w:jc w:val="center"/>
                          <w:rPr>
                            <w:rFonts w:eastAsia="仿宋"/>
                          </w:rPr>
                        </w:pPr>
                        <w:r>
                          <w:rPr>
                            <w:rFonts w:hint="eastAsia" w:eastAsia="仿宋"/>
                          </w:rPr>
                          <w:t>Ⅱ级响应</w:t>
                        </w:r>
                      </w:p>
                      <w:p w14:paraId="7ECD70E5">
                        <w:pPr>
                          <w:rPr>
                            <w:rStyle w:val="15"/>
                            <w:rFonts w:ascii="Calibri" w:hAnsi="Calibri"/>
                            <w:sz w:val="21"/>
                          </w:rPr>
                        </w:pPr>
                      </w:p>
                    </w:txbxContent>
                  </v:textbox>
                </v:shape>
                <v:line id="_x0000_s1026" o:spid="_x0000_s1026" o:spt="20" style="position:absolute;left:14496;top:329872;height:1013;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967;top:329883;flip:y;height:0;width:540;rotation:11796480f;" filled="f" stroked="t" coordsize="21600,21600" o:gfxdata="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AQ6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3956;top:330401;flip:y;height:0;width:540;rotation:11796480f;" filled="f" stroked="t" coordsize="21600,21600" o:gfxdata="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Nq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4496;top:330397;flip:x y;height:7;width:444;" filled="f" stroked="t" coordsize="21600,21600" o:gfxdata="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iPml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978;top:330886;flip:y;height:0;width:540;rotation:11796480f;" filled="f" stroked="t" coordsize="21600,21600" o:gfxdata="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iW4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34" type="#_x0000_t34" style="position:absolute;left:13941;top:330438;height:960;width:1020;rotation:5898240f;" filled="f" stroked="t" coordsize="21600,21600" o:gfxdata="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sB6vQAA&#10;ANsAAAAPAAAAAAAAAAEAIAAAACIAAABkcnMvZG93bnJldi54bWxQSwECFAAUAAAACACHTuJAMy8F&#10;njsAAAA5AAAAEAAAAAAAAAABACAAAAAMAQAAZHJzL3NoYXBleG1sLnhtbFBLBQYAAAAABgAGAFsB&#10;AAC2AwAAAAA=&#10;" adj="17492">
                  <v:fill on="f" focussize="0,0"/>
                  <v:stroke color="#000000" joinstyle="round" endarrow="block"/>
                  <v:imagedata o:title=""/>
                  <o:lock v:ext="edit" aspectratio="f"/>
                </v:shape>
                <v:shape id="_x0000_s1026" o:spid="_x0000_s1026" o:spt="34" type="#_x0000_t34" style="position:absolute;left:10240;top:332268;flip:y;height:4473;width:4584;rotation:11796480f;" filled="f" stroked="t" coordsize="21600,21600" o:gfxdata="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qY9C/&#10;AAAA2wAAAA8AAAAAAAAAAQAgAAAAIgAAAGRycy9kb3ducmV2LnhtbFBLAQIUABQAAAAIAIdO4kAz&#10;LwWeOwAAADkAAAAQAAAAAAAAAAEAIAAAAA4BAABkcnMvc2hhcGV4bWwueG1sUEsFBgAAAAAGAAYA&#10;WwEAALgDAAAAAA==&#10;" adj="80">
                  <v:fill on="f" focussize="0,0"/>
                  <v:stroke color="#000000" joinstyle="round" endarrow="block"/>
                  <v:imagedata o:title=""/>
                  <o:lock v:ext="edit" aspectratio="f"/>
                </v:shape>
              </v:group>
            </w:pict>
          </mc:Fallback>
        </mc:AlternateContent>
      </w:r>
      <w:r>
        <w:rPr>
          <w:rFonts w:hint="eastAsia" w:ascii="Times New Roman" w:hAnsi="Times New Roman" w:cs="Times New Roman"/>
          <w:b/>
          <w:color w:val="auto"/>
          <w:sz w:val="32"/>
          <w:szCs w:val="32"/>
        </w:rPr>
        <w:t>文水县</w:t>
      </w:r>
      <w:r>
        <w:rPr>
          <w:rFonts w:ascii="Times New Roman" w:hAnsi="Times New Roman" w:cs="Times New Roman"/>
          <w:b/>
          <w:color w:val="auto"/>
          <w:sz w:val="32"/>
          <w:szCs w:val="32"/>
        </w:rPr>
        <w:t>辐射事故应急响应流程图</w:t>
      </w:r>
    </w:p>
    <w:p w14:paraId="6404042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1"/>
        <w:jc w:val="both"/>
        <w:textAlignment w:val="auto"/>
        <w:outlineLvl w:val="9"/>
        <w:rPr>
          <w:rFonts w:ascii="Times New Roman" w:hAnsi="Times New Roman" w:cs="Times New Roman"/>
          <w:b/>
          <w:bCs/>
          <w:sz w:val="28"/>
          <w:szCs w:val="28"/>
        </w:rPr>
      </w:pPr>
      <w:bookmarkStart w:id="93" w:name="_Toc23210"/>
      <w:bookmarkStart w:id="94" w:name="_Toc23357"/>
      <w:bookmarkStart w:id="95" w:name="_Toc25186"/>
      <w:bookmarkStart w:id="96" w:name="_Toc7386"/>
      <w:bookmarkStart w:id="97" w:name="_Toc24484"/>
      <w:bookmarkStart w:id="98" w:name="_Toc23696"/>
      <w:bookmarkStart w:id="99" w:name="_Toc24178"/>
      <w:r>
        <w:rPr>
          <w:rFonts w:ascii="Times New Roman" w:hAnsi="Times New Roman" w:cs="Times New Roman"/>
          <w:b/>
          <w:bCs/>
          <w:sz w:val="28"/>
          <w:szCs w:val="28"/>
        </w:rPr>
        <w:t>附件2</w:t>
      </w:r>
      <w:bookmarkEnd w:id="93"/>
      <w:bookmarkEnd w:id="94"/>
      <w:bookmarkEnd w:id="95"/>
      <w:bookmarkEnd w:id="96"/>
      <w:bookmarkEnd w:id="97"/>
      <w:bookmarkEnd w:id="98"/>
      <w:bookmarkEnd w:id="99"/>
    </w:p>
    <w:p w14:paraId="2B64B60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805"/>
        <w:jc w:val="center"/>
        <w:textAlignment w:val="auto"/>
        <w:outlineLvl w:val="9"/>
        <w:rPr>
          <w:rFonts w:ascii="Times New Roman" w:hAnsi="Times New Roman" w:cs="Times New Roman"/>
          <w:sz w:val="44"/>
          <w:szCs w:val="44"/>
        </w:rPr>
      </w:pPr>
      <w:r>
        <w:rPr>
          <w:rFonts w:hint="eastAsia" w:ascii="Times New Roman" w:hAnsi="Times New Roman" w:cs="Times New Roman"/>
          <w:b/>
          <w:bCs/>
          <w:sz w:val="40"/>
          <w:szCs w:val="40"/>
        </w:rPr>
        <w:t>文水县</w:t>
      </w:r>
      <w:r>
        <w:rPr>
          <w:rFonts w:ascii="Times New Roman" w:hAnsi="Times New Roman" w:cs="Times New Roman"/>
          <w:b/>
          <w:bCs/>
          <w:sz w:val="40"/>
          <w:szCs w:val="40"/>
        </w:rPr>
        <w:t>辐射事故应急</w:t>
      </w:r>
      <w:r>
        <w:rPr>
          <w:rFonts w:hint="eastAsia" w:ascii="Times New Roman" w:hAnsi="Times New Roman" w:cs="Times New Roman"/>
          <w:b/>
          <w:bCs/>
          <w:sz w:val="40"/>
          <w:szCs w:val="40"/>
        </w:rPr>
        <w:t>现场</w:t>
      </w:r>
      <w:r>
        <w:rPr>
          <w:rFonts w:ascii="Times New Roman" w:hAnsi="Times New Roman" w:cs="Times New Roman"/>
          <w:b/>
          <w:bCs/>
          <w:sz w:val="40"/>
          <w:szCs w:val="40"/>
        </w:rPr>
        <w:t>指挥部及其办公室、成员单位职责表</w:t>
      </w:r>
    </w:p>
    <w:tbl>
      <w:tblPr>
        <w:tblStyle w:val="9"/>
        <w:tblW w:w="502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717"/>
        <w:gridCol w:w="11006"/>
      </w:tblGrid>
      <w:tr w14:paraId="61904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blHeader/>
        </w:trPr>
        <w:tc>
          <w:tcPr>
            <w:tcW w:w="181" w:type="pct"/>
            <w:tcBorders>
              <w:tl2br w:val="nil"/>
              <w:tr2bl w:val="nil"/>
            </w:tcBorders>
            <w:vAlign w:val="center"/>
          </w:tcPr>
          <w:p w14:paraId="2307F14B">
            <w:pPr>
              <w:jc w:val="center"/>
              <w:rPr>
                <w:rFonts w:ascii="仿宋" w:hAnsi="仿宋" w:eastAsia="仿宋" w:cs="仿宋"/>
              </w:rPr>
            </w:pPr>
          </w:p>
        </w:tc>
        <w:tc>
          <w:tcPr>
            <w:tcW w:w="954" w:type="pct"/>
            <w:tcBorders>
              <w:tl2br w:val="nil"/>
              <w:tr2bl w:val="nil"/>
            </w:tcBorders>
            <w:vAlign w:val="center"/>
          </w:tcPr>
          <w:p w14:paraId="16E84E4A">
            <w:pPr>
              <w:ind w:firstLine="562"/>
              <w:jc w:val="center"/>
              <w:rPr>
                <w:rFonts w:ascii="仿宋" w:hAnsi="仿宋" w:eastAsia="仿宋" w:cs="仿宋"/>
                <w:b/>
                <w:bCs/>
              </w:rPr>
            </w:pPr>
            <w:r>
              <w:rPr>
                <w:rFonts w:hint="eastAsia" w:ascii="仿宋" w:hAnsi="仿宋" w:eastAsia="仿宋" w:cs="仿宋"/>
                <w:b/>
                <w:bCs/>
              </w:rPr>
              <w:t>职务</w:t>
            </w:r>
          </w:p>
        </w:tc>
        <w:tc>
          <w:tcPr>
            <w:tcW w:w="3864" w:type="pct"/>
            <w:tcBorders>
              <w:tl2br w:val="nil"/>
              <w:tr2bl w:val="nil"/>
            </w:tcBorders>
            <w:vAlign w:val="center"/>
          </w:tcPr>
          <w:p w14:paraId="3DFEB25C">
            <w:pPr>
              <w:ind w:firstLine="562"/>
              <w:jc w:val="center"/>
              <w:rPr>
                <w:rFonts w:ascii="仿宋" w:hAnsi="仿宋" w:eastAsia="仿宋" w:cs="仿宋"/>
                <w:b/>
                <w:bCs/>
              </w:rPr>
            </w:pPr>
            <w:r>
              <w:rPr>
                <w:rFonts w:hint="eastAsia" w:ascii="仿宋" w:hAnsi="仿宋" w:eastAsia="仿宋" w:cs="仿宋"/>
                <w:b/>
                <w:bCs/>
              </w:rPr>
              <w:t>指挥机构职责</w:t>
            </w:r>
          </w:p>
        </w:tc>
      </w:tr>
      <w:tr w14:paraId="40298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5" w:hRule="exact"/>
        </w:trPr>
        <w:tc>
          <w:tcPr>
            <w:tcW w:w="181" w:type="pct"/>
            <w:tcBorders>
              <w:tl2br w:val="nil"/>
              <w:tr2bl w:val="nil"/>
            </w:tcBorders>
            <w:vAlign w:val="center"/>
          </w:tcPr>
          <w:p w14:paraId="56E13099">
            <w:pPr>
              <w:jc w:val="center"/>
              <w:rPr>
                <w:rFonts w:ascii="仿宋" w:hAnsi="仿宋" w:eastAsia="仿宋" w:cs="仿宋"/>
              </w:rPr>
            </w:pPr>
            <w:r>
              <w:rPr>
                <w:rFonts w:hint="eastAsia" w:ascii="仿宋" w:hAnsi="仿宋" w:eastAsia="仿宋" w:cs="仿宋"/>
              </w:rPr>
              <w:t>指</w:t>
            </w:r>
          </w:p>
          <w:p w14:paraId="7D330A76">
            <w:pPr>
              <w:jc w:val="center"/>
              <w:rPr>
                <w:rFonts w:ascii="仿宋" w:hAnsi="仿宋" w:eastAsia="仿宋" w:cs="仿宋"/>
              </w:rPr>
            </w:pPr>
            <w:r>
              <w:rPr>
                <w:rFonts w:hint="eastAsia" w:ascii="仿宋" w:hAnsi="仿宋" w:eastAsia="仿宋" w:cs="仿宋"/>
              </w:rPr>
              <w:t>挥</w:t>
            </w:r>
          </w:p>
          <w:p w14:paraId="5820310B">
            <w:pPr>
              <w:jc w:val="center"/>
              <w:rPr>
                <w:rFonts w:ascii="仿宋" w:hAnsi="仿宋" w:eastAsia="仿宋" w:cs="仿宋"/>
              </w:rPr>
            </w:pPr>
            <w:r>
              <w:rPr>
                <w:rFonts w:hint="eastAsia" w:ascii="仿宋" w:hAnsi="仿宋" w:eastAsia="仿宋" w:cs="仿宋"/>
              </w:rPr>
              <w:t>长</w:t>
            </w:r>
          </w:p>
        </w:tc>
        <w:tc>
          <w:tcPr>
            <w:tcW w:w="954" w:type="pct"/>
            <w:tcBorders>
              <w:tl2br w:val="nil"/>
              <w:tr2bl w:val="nil"/>
            </w:tcBorders>
            <w:vAlign w:val="center"/>
          </w:tcPr>
          <w:p w14:paraId="291C220E">
            <w:pPr>
              <w:jc w:val="center"/>
              <w:rPr>
                <w:rFonts w:ascii="仿宋" w:hAnsi="仿宋" w:eastAsia="仿宋" w:cs="仿宋"/>
              </w:rPr>
            </w:pPr>
            <w:r>
              <w:rPr>
                <w:rFonts w:hint="eastAsia" w:ascii="仿宋" w:hAnsi="仿宋" w:eastAsia="仿宋" w:cs="仿宋"/>
              </w:rPr>
              <w:t>县政府分管副市长</w:t>
            </w:r>
          </w:p>
        </w:tc>
        <w:tc>
          <w:tcPr>
            <w:tcW w:w="3864" w:type="pct"/>
            <w:vMerge w:val="restart"/>
            <w:tcBorders>
              <w:tl2br w:val="nil"/>
              <w:tr2bl w:val="nil"/>
            </w:tcBorders>
            <w:vAlign w:val="center"/>
          </w:tcPr>
          <w:p w14:paraId="05EBC6CC">
            <w:pPr>
              <w:ind w:firstLine="562"/>
              <w:jc w:val="left"/>
              <w:rPr>
                <w:rFonts w:ascii="仿宋" w:hAnsi="仿宋" w:eastAsia="仿宋" w:cs="仿宋"/>
                <w:b/>
                <w:bCs/>
              </w:rPr>
            </w:pPr>
            <w:r>
              <w:rPr>
                <w:rFonts w:hint="eastAsia" w:ascii="仿宋" w:hAnsi="仿宋" w:eastAsia="仿宋" w:cs="仿宋"/>
                <w:b/>
                <w:bCs/>
              </w:rPr>
              <w:t>县指挥部职责：</w:t>
            </w:r>
          </w:p>
          <w:p w14:paraId="19BEA79E">
            <w:pPr>
              <w:jc w:val="left"/>
              <w:rPr>
                <w:rFonts w:ascii="仿宋" w:hAnsi="仿宋" w:eastAsia="仿宋" w:cs="仿宋"/>
              </w:rPr>
            </w:pPr>
            <w:r>
              <w:rPr>
                <w:rFonts w:hint="eastAsia" w:ascii="仿宋" w:hAnsi="仿宋" w:eastAsia="仿宋" w:cs="仿宋"/>
              </w:rPr>
              <w:t>（1）贯彻落实党中央、国务院、省委、省政府、吕梁市委、吕梁市政府和县委、县政府关于辐射安全工作的决策部署；</w:t>
            </w:r>
          </w:p>
          <w:p w14:paraId="0CC9DC20">
            <w:pPr>
              <w:jc w:val="left"/>
              <w:rPr>
                <w:rFonts w:ascii="仿宋" w:hAnsi="仿宋" w:eastAsia="仿宋" w:cs="仿宋"/>
              </w:rPr>
            </w:pPr>
            <w:r>
              <w:rPr>
                <w:rFonts w:hint="eastAsia" w:ascii="仿宋" w:hAnsi="仿宋" w:eastAsia="仿宋" w:cs="仿宋"/>
              </w:rPr>
              <w:t>（2）统筹协调全县辐射安全防范和隐患排查治理工作；</w:t>
            </w:r>
          </w:p>
          <w:p w14:paraId="4D5C642C">
            <w:pPr>
              <w:jc w:val="left"/>
              <w:rPr>
                <w:rFonts w:ascii="仿宋" w:hAnsi="仿宋" w:eastAsia="仿宋" w:cs="仿宋"/>
              </w:rPr>
            </w:pPr>
            <w:r>
              <w:rPr>
                <w:rFonts w:hint="eastAsia" w:ascii="仿宋" w:hAnsi="仿宋" w:eastAsia="仿宋" w:cs="仿宋"/>
              </w:rPr>
              <w:t>（3）制定辐射安全总体规划、重要措施；</w:t>
            </w:r>
          </w:p>
          <w:p w14:paraId="507AF85E">
            <w:pPr>
              <w:jc w:val="left"/>
              <w:rPr>
                <w:rFonts w:ascii="仿宋" w:hAnsi="仿宋" w:eastAsia="仿宋" w:cs="仿宋"/>
              </w:rPr>
            </w:pPr>
            <w:r>
              <w:rPr>
                <w:rFonts w:hint="eastAsia" w:ascii="仿宋" w:hAnsi="仿宋" w:eastAsia="仿宋" w:cs="仿宋"/>
              </w:rPr>
              <w:t>（4）组织指挥一般辐射事故应急处置工作；</w:t>
            </w:r>
          </w:p>
          <w:p w14:paraId="36A5A82D">
            <w:pPr>
              <w:jc w:val="left"/>
              <w:rPr>
                <w:rFonts w:ascii="仿宋" w:hAnsi="仿宋" w:eastAsia="仿宋" w:cs="仿宋"/>
              </w:rPr>
            </w:pPr>
            <w:r>
              <w:rPr>
                <w:rFonts w:hint="eastAsia" w:ascii="仿宋" w:hAnsi="仿宋" w:eastAsia="仿宋" w:cs="仿宋"/>
              </w:rPr>
              <w:t>（5）配合生态环境部开展重大及特别重大辐射事故调查工作，配合省生态环境厅开展较大辐射事故调查工作，配合吕梁市生态环境局开展一般辐射事故调查工作；</w:t>
            </w:r>
          </w:p>
          <w:p w14:paraId="2B00DBE4">
            <w:pPr>
              <w:jc w:val="left"/>
              <w:rPr>
                <w:rFonts w:ascii="仿宋" w:hAnsi="仿宋" w:eastAsia="仿宋" w:cs="仿宋"/>
              </w:rPr>
            </w:pPr>
            <w:r>
              <w:rPr>
                <w:rFonts w:hint="eastAsia" w:ascii="仿宋" w:hAnsi="仿宋" w:eastAsia="仿宋" w:cs="仿宋"/>
              </w:rPr>
              <w:t>（6）必要时，组织开展一般辐射事故损害评估工作；</w:t>
            </w:r>
          </w:p>
          <w:p w14:paraId="339686F8">
            <w:pPr>
              <w:jc w:val="left"/>
              <w:rPr>
                <w:rFonts w:ascii="仿宋" w:hAnsi="仿宋" w:eastAsia="仿宋" w:cs="仿宋"/>
              </w:rPr>
            </w:pPr>
            <w:r>
              <w:rPr>
                <w:rFonts w:hint="eastAsia" w:ascii="仿宋" w:hAnsi="仿宋" w:eastAsia="仿宋" w:cs="仿宋"/>
              </w:rPr>
              <w:t>（7）落实县委、县政府及县应急救援总指挥部交办的辐射事故应急处置的其他重大事项。</w:t>
            </w:r>
          </w:p>
          <w:p w14:paraId="371BA95C">
            <w:pPr>
              <w:ind w:firstLine="562"/>
              <w:jc w:val="left"/>
              <w:rPr>
                <w:rFonts w:ascii="仿宋" w:hAnsi="仿宋" w:eastAsia="仿宋" w:cs="仿宋"/>
                <w:b/>
                <w:bCs/>
              </w:rPr>
            </w:pPr>
            <w:r>
              <w:rPr>
                <w:rFonts w:hint="eastAsia" w:ascii="仿宋" w:hAnsi="仿宋" w:eastAsia="仿宋" w:cs="仿宋"/>
                <w:b/>
                <w:bCs/>
              </w:rPr>
              <w:t>县指挥部办公室设在吕梁市生态环境局文水分局，吕梁市生态环境局文水分局局长兼任办公室主任。</w:t>
            </w:r>
          </w:p>
          <w:p w14:paraId="15BF2705">
            <w:pPr>
              <w:ind w:firstLine="562"/>
              <w:jc w:val="left"/>
              <w:rPr>
                <w:rFonts w:ascii="仿宋" w:hAnsi="仿宋" w:eastAsia="仿宋" w:cs="仿宋"/>
                <w:b/>
                <w:bCs/>
              </w:rPr>
            </w:pPr>
            <w:r>
              <w:rPr>
                <w:rFonts w:hint="eastAsia" w:ascii="仿宋" w:hAnsi="仿宋" w:eastAsia="仿宋" w:cs="仿宋"/>
                <w:b/>
                <w:bCs/>
              </w:rPr>
              <w:t>县指挥部办公室职责：</w:t>
            </w:r>
          </w:p>
          <w:p w14:paraId="3E99ED81">
            <w:pPr>
              <w:jc w:val="left"/>
              <w:rPr>
                <w:rFonts w:ascii="仿宋" w:hAnsi="仿宋" w:eastAsia="仿宋" w:cs="仿宋"/>
              </w:rPr>
            </w:pPr>
            <w:r>
              <w:rPr>
                <w:rFonts w:hint="eastAsia" w:ascii="仿宋" w:hAnsi="仿宋" w:eastAsia="仿宋" w:cs="仿宋"/>
              </w:rPr>
              <w:t>（1）承担辐射事故应急指挥部日常工作，制定、修订辐射事故应急预案；</w:t>
            </w:r>
          </w:p>
          <w:p w14:paraId="4578ECE0">
            <w:pPr>
              <w:jc w:val="left"/>
              <w:rPr>
                <w:rFonts w:ascii="仿宋" w:hAnsi="仿宋" w:eastAsia="仿宋" w:cs="仿宋"/>
              </w:rPr>
            </w:pPr>
            <w:r>
              <w:rPr>
                <w:rFonts w:hint="eastAsia" w:ascii="仿宋" w:hAnsi="仿宋" w:eastAsia="仿宋" w:cs="仿宋"/>
              </w:rPr>
              <w:t>（2）组织辐射环境污染防范和隐患排查治理工作；</w:t>
            </w:r>
          </w:p>
          <w:p w14:paraId="5AD0D5B6">
            <w:pPr>
              <w:jc w:val="left"/>
              <w:rPr>
                <w:rFonts w:ascii="仿宋" w:hAnsi="仿宋" w:eastAsia="仿宋" w:cs="仿宋"/>
              </w:rPr>
            </w:pPr>
            <w:r>
              <w:rPr>
                <w:rFonts w:hint="eastAsia" w:ascii="仿宋" w:hAnsi="仿宋" w:eastAsia="仿宋" w:cs="仿宋"/>
              </w:rPr>
              <w:t>（3）开展桌面推演、实兵演练等应对辐射事故专项训练；</w:t>
            </w:r>
          </w:p>
          <w:p w14:paraId="5E299F91">
            <w:pPr>
              <w:jc w:val="left"/>
              <w:rPr>
                <w:rFonts w:ascii="仿宋" w:hAnsi="仿宋" w:eastAsia="仿宋" w:cs="仿宋"/>
              </w:rPr>
            </w:pPr>
            <w:r>
              <w:rPr>
                <w:rFonts w:hint="eastAsia" w:ascii="仿宋" w:hAnsi="仿宋" w:eastAsia="仿宋" w:cs="仿宋"/>
              </w:rPr>
              <w:t>（4）协调各方面力量参加一般辐射事故救援行动；</w:t>
            </w:r>
          </w:p>
          <w:p w14:paraId="2C855755">
            <w:pPr>
              <w:jc w:val="left"/>
              <w:rPr>
                <w:rFonts w:ascii="仿宋" w:hAnsi="仿宋" w:eastAsia="仿宋" w:cs="仿宋"/>
              </w:rPr>
            </w:pPr>
            <w:r>
              <w:rPr>
                <w:rFonts w:hint="eastAsia" w:ascii="仿宋" w:hAnsi="仿宋" w:eastAsia="仿宋" w:cs="仿宋"/>
              </w:rPr>
              <w:t>（5）协助县委、县政府指定的负责同志组织一般辐射事故应急处置工作；</w:t>
            </w:r>
          </w:p>
          <w:p w14:paraId="3559047F">
            <w:pPr>
              <w:jc w:val="left"/>
              <w:rPr>
                <w:rFonts w:ascii="仿宋" w:hAnsi="仿宋" w:eastAsia="仿宋" w:cs="仿宋"/>
              </w:rPr>
            </w:pPr>
            <w:r>
              <w:rPr>
                <w:rFonts w:hint="eastAsia" w:ascii="仿宋" w:hAnsi="仿宋" w:eastAsia="仿宋" w:cs="仿宋"/>
              </w:rPr>
              <w:t>（6）协调配合生态环境部开展重大及特别重大辐射事故调查工作，协调配合省生态环境厅开展较大辐射事故调查工作，协调配合吕梁市生态环境局开展一般辐射事故调查工作；</w:t>
            </w:r>
          </w:p>
          <w:p w14:paraId="409F33F1">
            <w:pPr>
              <w:jc w:val="left"/>
              <w:rPr>
                <w:rFonts w:ascii="仿宋" w:hAnsi="仿宋" w:eastAsia="仿宋" w:cs="仿宋"/>
              </w:rPr>
            </w:pPr>
            <w:r>
              <w:rPr>
                <w:rFonts w:hint="eastAsia" w:ascii="仿宋" w:hAnsi="仿宋" w:eastAsia="仿宋" w:cs="仿宋"/>
              </w:rPr>
              <w:t>（7）必要时，组织开展一般辐射事故损害评估工作，报告一般辐射事故事件信息；</w:t>
            </w:r>
          </w:p>
          <w:p w14:paraId="09B88595">
            <w:pPr>
              <w:jc w:val="left"/>
              <w:rPr>
                <w:rFonts w:ascii="仿宋" w:hAnsi="仿宋" w:eastAsia="仿宋" w:cs="仿宋"/>
              </w:rPr>
            </w:pPr>
            <w:r>
              <w:rPr>
                <w:rFonts w:hint="eastAsia" w:ascii="仿宋" w:hAnsi="仿宋" w:eastAsia="仿宋" w:cs="仿宋"/>
              </w:rPr>
              <w:t>（8）完成县指挥部交办的其他工作。</w:t>
            </w:r>
          </w:p>
          <w:p w14:paraId="30421211">
            <w:pPr>
              <w:jc w:val="center"/>
              <w:rPr>
                <w:rFonts w:ascii="仿宋" w:hAnsi="仿宋" w:eastAsia="仿宋" w:cs="仿宋"/>
              </w:rPr>
            </w:pPr>
          </w:p>
        </w:tc>
      </w:tr>
      <w:tr w14:paraId="4DE1A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1" w:type="pct"/>
            <w:vMerge w:val="restart"/>
            <w:tcBorders>
              <w:tl2br w:val="nil"/>
              <w:tr2bl w:val="nil"/>
            </w:tcBorders>
            <w:vAlign w:val="center"/>
          </w:tcPr>
          <w:p w14:paraId="1836E0B2">
            <w:pPr>
              <w:jc w:val="center"/>
              <w:rPr>
                <w:rFonts w:ascii="仿宋" w:hAnsi="仿宋" w:eastAsia="仿宋" w:cs="仿宋"/>
              </w:rPr>
            </w:pPr>
            <w:r>
              <w:rPr>
                <w:rFonts w:hint="eastAsia" w:ascii="仿宋" w:hAnsi="仿宋" w:eastAsia="仿宋" w:cs="仿宋"/>
              </w:rPr>
              <w:t>副</w:t>
            </w:r>
          </w:p>
          <w:p w14:paraId="779147F4">
            <w:pPr>
              <w:jc w:val="center"/>
              <w:rPr>
                <w:rFonts w:ascii="仿宋" w:hAnsi="仿宋" w:eastAsia="仿宋" w:cs="仿宋"/>
              </w:rPr>
            </w:pPr>
            <w:r>
              <w:rPr>
                <w:rFonts w:hint="eastAsia" w:ascii="仿宋" w:hAnsi="仿宋" w:eastAsia="仿宋" w:cs="仿宋"/>
              </w:rPr>
              <w:t>指</w:t>
            </w:r>
          </w:p>
          <w:p w14:paraId="14177188">
            <w:pPr>
              <w:jc w:val="center"/>
              <w:rPr>
                <w:rFonts w:ascii="仿宋" w:hAnsi="仿宋" w:eastAsia="仿宋" w:cs="仿宋"/>
              </w:rPr>
            </w:pPr>
            <w:r>
              <w:rPr>
                <w:rFonts w:hint="eastAsia" w:ascii="仿宋" w:hAnsi="仿宋" w:eastAsia="仿宋" w:cs="仿宋"/>
              </w:rPr>
              <w:t>挥</w:t>
            </w:r>
          </w:p>
          <w:p w14:paraId="2C53B633">
            <w:pPr>
              <w:jc w:val="center"/>
              <w:rPr>
                <w:rFonts w:ascii="仿宋" w:hAnsi="仿宋" w:eastAsia="仿宋" w:cs="仿宋"/>
              </w:rPr>
            </w:pPr>
            <w:r>
              <w:rPr>
                <w:rFonts w:hint="eastAsia" w:ascii="仿宋" w:hAnsi="仿宋" w:eastAsia="仿宋" w:cs="仿宋"/>
              </w:rPr>
              <w:t>长</w:t>
            </w:r>
          </w:p>
        </w:tc>
        <w:tc>
          <w:tcPr>
            <w:tcW w:w="954" w:type="pct"/>
            <w:tcBorders>
              <w:tl2br w:val="nil"/>
              <w:tr2bl w:val="nil"/>
            </w:tcBorders>
            <w:vAlign w:val="center"/>
          </w:tcPr>
          <w:p w14:paraId="6D852D99">
            <w:pPr>
              <w:jc w:val="center"/>
              <w:rPr>
                <w:rFonts w:ascii="仿宋" w:hAnsi="仿宋" w:eastAsia="仿宋" w:cs="仿宋"/>
              </w:rPr>
            </w:pPr>
            <w:r>
              <w:rPr>
                <w:rFonts w:hint="eastAsia" w:ascii="仿宋" w:hAnsi="仿宋" w:eastAsia="仿宋" w:cs="仿宋"/>
              </w:rPr>
              <w:t>县政府办副主任</w:t>
            </w:r>
          </w:p>
        </w:tc>
        <w:tc>
          <w:tcPr>
            <w:tcW w:w="3864" w:type="pct"/>
            <w:vMerge w:val="continue"/>
            <w:tcBorders>
              <w:tl2br w:val="nil"/>
              <w:tr2bl w:val="nil"/>
            </w:tcBorders>
            <w:vAlign w:val="center"/>
          </w:tcPr>
          <w:p w14:paraId="4E5F50E4">
            <w:pPr>
              <w:jc w:val="center"/>
              <w:rPr>
                <w:rFonts w:ascii="仿宋" w:hAnsi="仿宋" w:eastAsia="仿宋" w:cs="仿宋"/>
              </w:rPr>
            </w:pPr>
          </w:p>
        </w:tc>
      </w:tr>
      <w:tr w14:paraId="382A6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1" w:type="pct"/>
            <w:vMerge w:val="continue"/>
            <w:tcBorders>
              <w:tl2br w:val="nil"/>
              <w:tr2bl w:val="nil"/>
            </w:tcBorders>
            <w:vAlign w:val="center"/>
          </w:tcPr>
          <w:p w14:paraId="36627E11">
            <w:pPr>
              <w:jc w:val="center"/>
              <w:rPr>
                <w:rFonts w:ascii="仿宋" w:hAnsi="仿宋" w:eastAsia="仿宋" w:cs="仿宋"/>
              </w:rPr>
            </w:pPr>
          </w:p>
        </w:tc>
        <w:tc>
          <w:tcPr>
            <w:tcW w:w="954" w:type="pct"/>
            <w:tcBorders>
              <w:tl2br w:val="nil"/>
              <w:tr2bl w:val="nil"/>
            </w:tcBorders>
            <w:vAlign w:val="center"/>
          </w:tcPr>
          <w:p w14:paraId="6122185F">
            <w:pPr>
              <w:jc w:val="center"/>
              <w:rPr>
                <w:rFonts w:ascii="仿宋" w:hAnsi="仿宋" w:eastAsia="仿宋" w:cs="仿宋"/>
              </w:rPr>
            </w:pPr>
            <w:r>
              <w:rPr>
                <w:rFonts w:hint="eastAsia" w:ascii="仿宋" w:hAnsi="仿宋" w:eastAsia="仿宋" w:cs="仿宋"/>
              </w:rPr>
              <w:t>吕梁市生态环境局文水分局局长</w:t>
            </w:r>
          </w:p>
        </w:tc>
        <w:tc>
          <w:tcPr>
            <w:tcW w:w="3864" w:type="pct"/>
            <w:vMerge w:val="continue"/>
            <w:tcBorders>
              <w:tl2br w:val="nil"/>
              <w:tr2bl w:val="nil"/>
            </w:tcBorders>
            <w:vAlign w:val="center"/>
          </w:tcPr>
          <w:p w14:paraId="606D8DBD">
            <w:pPr>
              <w:jc w:val="center"/>
              <w:rPr>
                <w:rFonts w:ascii="仿宋" w:hAnsi="仿宋" w:eastAsia="仿宋" w:cs="仿宋"/>
              </w:rPr>
            </w:pPr>
          </w:p>
        </w:tc>
      </w:tr>
      <w:tr w14:paraId="5B3A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1" w:type="pct"/>
            <w:vMerge w:val="continue"/>
            <w:tcBorders>
              <w:tl2br w:val="nil"/>
              <w:tr2bl w:val="nil"/>
            </w:tcBorders>
            <w:vAlign w:val="center"/>
          </w:tcPr>
          <w:p w14:paraId="659F7B1C">
            <w:pPr>
              <w:jc w:val="center"/>
              <w:rPr>
                <w:rFonts w:ascii="仿宋" w:hAnsi="仿宋" w:eastAsia="仿宋" w:cs="仿宋"/>
              </w:rPr>
            </w:pPr>
          </w:p>
        </w:tc>
        <w:tc>
          <w:tcPr>
            <w:tcW w:w="954" w:type="pct"/>
            <w:tcBorders>
              <w:tl2br w:val="nil"/>
              <w:tr2bl w:val="nil"/>
            </w:tcBorders>
            <w:vAlign w:val="center"/>
          </w:tcPr>
          <w:p w14:paraId="143D2E01">
            <w:pPr>
              <w:jc w:val="center"/>
              <w:rPr>
                <w:rFonts w:ascii="仿宋" w:hAnsi="仿宋" w:eastAsia="仿宋" w:cs="仿宋"/>
              </w:rPr>
            </w:pPr>
            <w:r>
              <w:rPr>
                <w:rFonts w:hint="eastAsia" w:ascii="仿宋" w:hAnsi="仿宋" w:eastAsia="仿宋" w:cs="仿宋"/>
              </w:rPr>
              <w:t>县应急管理局局长</w:t>
            </w:r>
          </w:p>
        </w:tc>
        <w:tc>
          <w:tcPr>
            <w:tcW w:w="3864" w:type="pct"/>
            <w:vMerge w:val="continue"/>
            <w:tcBorders>
              <w:tl2br w:val="nil"/>
              <w:tr2bl w:val="nil"/>
            </w:tcBorders>
            <w:vAlign w:val="center"/>
          </w:tcPr>
          <w:p w14:paraId="47A56DF8">
            <w:pPr>
              <w:jc w:val="center"/>
              <w:rPr>
                <w:rFonts w:ascii="仿宋" w:hAnsi="仿宋" w:eastAsia="仿宋" w:cs="仿宋"/>
              </w:rPr>
            </w:pPr>
          </w:p>
        </w:tc>
      </w:tr>
      <w:tr w14:paraId="1F592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181" w:type="pct"/>
            <w:vMerge w:val="continue"/>
            <w:tcBorders>
              <w:tl2br w:val="nil"/>
              <w:tr2bl w:val="nil"/>
            </w:tcBorders>
            <w:vAlign w:val="center"/>
          </w:tcPr>
          <w:p w14:paraId="3698BA93">
            <w:pPr>
              <w:jc w:val="center"/>
              <w:rPr>
                <w:rFonts w:ascii="仿宋" w:hAnsi="仿宋" w:eastAsia="仿宋" w:cs="仿宋"/>
              </w:rPr>
            </w:pPr>
          </w:p>
        </w:tc>
        <w:tc>
          <w:tcPr>
            <w:tcW w:w="954" w:type="pct"/>
            <w:tcBorders>
              <w:tl2br w:val="nil"/>
              <w:tr2bl w:val="nil"/>
            </w:tcBorders>
            <w:vAlign w:val="center"/>
          </w:tcPr>
          <w:p w14:paraId="15DDE71A">
            <w:pPr>
              <w:jc w:val="center"/>
              <w:rPr>
                <w:rFonts w:ascii="仿宋" w:hAnsi="仿宋" w:eastAsia="仿宋" w:cs="仿宋"/>
              </w:rPr>
            </w:pPr>
            <w:r>
              <w:rPr>
                <w:rFonts w:hint="eastAsia" w:ascii="仿宋" w:hAnsi="仿宋" w:eastAsia="仿宋" w:cs="仿宋"/>
              </w:rPr>
              <w:t>县人民武装部副部长</w:t>
            </w:r>
          </w:p>
        </w:tc>
        <w:tc>
          <w:tcPr>
            <w:tcW w:w="3864" w:type="pct"/>
            <w:vMerge w:val="continue"/>
            <w:tcBorders>
              <w:tl2br w:val="nil"/>
              <w:tr2bl w:val="nil"/>
            </w:tcBorders>
            <w:vAlign w:val="center"/>
          </w:tcPr>
          <w:p w14:paraId="7CA54ED5">
            <w:pPr>
              <w:jc w:val="center"/>
              <w:rPr>
                <w:rFonts w:ascii="仿宋" w:hAnsi="仿宋" w:eastAsia="仿宋" w:cs="仿宋"/>
              </w:rPr>
            </w:pPr>
          </w:p>
        </w:tc>
      </w:tr>
      <w:tr w14:paraId="33417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181" w:type="pct"/>
            <w:vMerge w:val="continue"/>
            <w:tcBorders>
              <w:tl2br w:val="nil"/>
              <w:tr2bl w:val="nil"/>
            </w:tcBorders>
            <w:vAlign w:val="center"/>
          </w:tcPr>
          <w:p w14:paraId="7B2423D6">
            <w:pPr>
              <w:jc w:val="center"/>
              <w:rPr>
                <w:rFonts w:ascii="仿宋" w:hAnsi="仿宋" w:eastAsia="仿宋" w:cs="仿宋"/>
              </w:rPr>
            </w:pPr>
          </w:p>
        </w:tc>
        <w:tc>
          <w:tcPr>
            <w:tcW w:w="954" w:type="pct"/>
            <w:tcBorders>
              <w:tl2br w:val="nil"/>
              <w:tr2bl w:val="nil"/>
            </w:tcBorders>
            <w:vAlign w:val="center"/>
          </w:tcPr>
          <w:p w14:paraId="6E89A111">
            <w:pPr>
              <w:jc w:val="center"/>
              <w:rPr>
                <w:rFonts w:ascii="仿宋" w:hAnsi="仿宋" w:eastAsia="仿宋" w:cs="仿宋"/>
              </w:rPr>
            </w:pPr>
            <w:r>
              <w:rPr>
                <w:rFonts w:hint="eastAsia" w:ascii="仿宋" w:hAnsi="仿宋" w:eastAsia="仿宋" w:cs="仿宋"/>
              </w:rPr>
              <w:t>武警文水中队中队长</w:t>
            </w:r>
          </w:p>
        </w:tc>
        <w:tc>
          <w:tcPr>
            <w:tcW w:w="3864" w:type="pct"/>
            <w:vMerge w:val="continue"/>
            <w:tcBorders>
              <w:tl2br w:val="nil"/>
              <w:tr2bl w:val="nil"/>
            </w:tcBorders>
            <w:vAlign w:val="center"/>
          </w:tcPr>
          <w:p w14:paraId="13F3FD93">
            <w:pPr>
              <w:jc w:val="center"/>
              <w:rPr>
                <w:rFonts w:ascii="仿宋" w:hAnsi="仿宋" w:eastAsia="仿宋" w:cs="仿宋"/>
              </w:rPr>
            </w:pPr>
          </w:p>
        </w:tc>
      </w:tr>
      <w:tr w14:paraId="1EBAC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181" w:type="pct"/>
            <w:vMerge w:val="continue"/>
            <w:tcBorders>
              <w:tl2br w:val="nil"/>
              <w:tr2bl w:val="nil"/>
            </w:tcBorders>
            <w:vAlign w:val="center"/>
          </w:tcPr>
          <w:p w14:paraId="7E15D929">
            <w:pPr>
              <w:jc w:val="center"/>
              <w:rPr>
                <w:rFonts w:ascii="仿宋" w:hAnsi="仿宋" w:eastAsia="仿宋" w:cs="仿宋"/>
              </w:rPr>
            </w:pPr>
          </w:p>
        </w:tc>
        <w:tc>
          <w:tcPr>
            <w:tcW w:w="954" w:type="pct"/>
            <w:tcBorders>
              <w:tl2br w:val="nil"/>
              <w:tr2bl w:val="nil"/>
            </w:tcBorders>
            <w:vAlign w:val="center"/>
          </w:tcPr>
          <w:p w14:paraId="53DA801F">
            <w:pPr>
              <w:jc w:val="center"/>
              <w:rPr>
                <w:rFonts w:ascii="仿宋" w:hAnsi="仿宋" w:eastAsia="仿宋" w:cs="仿宋"/>
              </w:rPr>
            </w:pPr>
            <w:r>
              <w:rPr>
                <w:rFonts w:hint="eastAsia" w:ascii="仿宋" w:hAnsi="仿宋" w:eastAsia="仿宋" w:cs="仿宋"/>
              </w:rPr>
              <w:t>县消防救援大队大队长</w:t>
            </w:r>
          </w:p>
        </w:tc>
        <w:tc>
          <w:tcPr>
            <w:tcW w:w="3864" w:type="pct"/>
            <w:vMerge w:val="continue"/>
            <w:tcBorders>
              <w:tl2br w:val="nil"/>
              <w:tr2bl w:val="nil"/>
            </w:tcBorders>
            <w:vAlign w:val="center"/>
          </w:tcPr>
          <w:p w14:paraId="4EC86D37">
            <w:pPr>
              <w:jc w:val="center"/>
              <w:rPr>
                <w:rFonts w:ascii="仿宋" w:hAnsi="仿宋" w:eastAsia="仿宋" w:cs="仿宋"/>
              </w:rPr>
            </w:pPr>
          </w:p>
        </w:tc>
      </w:tr>
      <w:tr w14:paraId="1EA38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81" w:type="pct"/>
            <w:vMerge w:val="restart"/>
            <w:tcBorders>
              <w:tl2br w:val="nil"/>
              <w:tr2bl w:val="nil"/>
            </w:tcBorders>
            <w:vAlign w:val="center"/>
          </w:tcPr>
          <w:p w14:paraId="6FE1DB90">
            <w:pPr>
              <w:jc w:val="center"/>
              <w:rPr>
                <w:rFonts w:ascii="仿宋" w:hAnsi="仿宋" w:eastAsia="仿宋" w:cs="仿宋"/>
              </w:rPr>
            </w:pPr>
            <w:r>
              <w:rPr>
                <w:rFonts w:hint="eastAsia" w:ascii="仿宋" w:hAnsi="仿宋" w:eastAsia="仿宋" w:cs="仿宋"/>
              </w:rPr>
              <w:t>成</w:t>
            </w:r>
          </w:p>
          <w:p w14:paraId="2A9649CD">
            <w:pPr>
              <w:jc w:val="center"/>
              <w:rPr>
                <w:rFonts w:ascii="仿宋" w:hAnsi="仿宋" w:eastAsia="仿宋" w:cs="仿宋"/>
              </w:rPr>
            </w:pPr>
            <w:r>
              <w:rPr>
                <w:rFonts w:hint="eastAsia" w:ascii="仿宋" w:hAnsi="仿宋" w:eastAsia="仿宋" w:cs="仿宋"/>
              </w:rPr>
              <w:t>员</w:t>
            </w:r>
          </w:p>
          <w:p w14:paraId="1A1BE739">
            <w:pPr>
              <w:jc w:val="center"/>
              <w:rPr>
                <w:rFonts w:ascii="仿宋" w:hAnsi="仿宋" w:eastAsia="仿宋" w:cs="仿宋"/>
              </w:rPr>
            </w:pPr>
            <w:r>
              <w:rPr>
                <w:rFonts w:hint="eastAsia" w:ascii="仿宋" w:hAnsi="仿宋" w:eastAsia="仿宋" w:cs="仿宋"/>
              </w:rPr>
              <w:t>单</w:t>
            </w:r>
          </w:p>
          <w:p w14:paraId="009DB2E3">
            <w:pPr>
              <w:jc w:val="center"/>
              <w:rPr>
                <w:rFonts w:ascii="仿宋" w:hAnsi="仿宋" w:eastAsia="仿宋" w:cs="仿宋"/>
              </w:rPr>
            </w:pPr>
            <w:r>
              <w:rPr>
                <w:rFonts w:hint="eastAsia" w:ascii="仿宋" w:hAnsi="仿宋" w:eastAsia="仿宋" w:cs="仿宋"/>
              </w:rPr>
              <w:t>位</w:t>
            </w:r>
          </w:p>
        </w:tc>
        <w:tc>
          <w:tcPr>
            <w:tcW w:w="954" w:type="pct"/>
            <w:tcBorders>
              <w:tl2br w:val="nil"/>
              <w:tr2bl w:val="nil"/>
            </w:tcBorders>
            <w:vAlign w:val="center"/>
          </w:tcPr>
          <w:p w14:paraId="1987D485">
            <w:pPr>
              <w:jc w:val="center"/>
              <w:rPr>
                <w:rFonts w:ascii="仿宋" w:hAnsi="仿宋" w:eastAsia="仿宋" w:cs="仿宋"/>
              </w:rPr>
            </w:pPr>
            <w:r>
              <w:rPr>
                <w:rFonts w:hint="eastAsia" w:ascii="仿宋" w:hAnsi="仿宋" w:eastAsia="仿宋" w:cs="仿宋"/>
              </w:rPr>
              <w:t>县委宣传部</w:t>
            </w:r>
          </w:p>
        </w:tc>
        <w:tc>
          <w:tcPr>
            <w:tcW w:w="3864" w:type="pct"/>
            <w:tcBorders>
              <w:tl2br w:val="nil"/>
              <w:tr2bl w:val="nil"/>
            </w:tcBorders>
            <w:vAlign w:val="center"/>
          </w:tcPr>
          <w:p w14:paraId="396F4E16">
            <w:pPr>
              <w:jc w:val="left"/>
              <w:rPr>
                <w:rFonts w:ascii="仿宋" w:hAnsi="仿宋" w:eastAsia="仿宋" w:cs="仿宋"/>
              </w:rPr>
            </w:pPr>
            <w:r>
              <w:rPr>
                <w:rFonts w:hint="eastAsia" w:ascii="仿宋" w:hAnsi="仿宋" w:eastAsia="仿宋" w:cs="仿宋"/>
              </w:rPr>
              <w:t>根据县指挥部统一部署，组织协调新闻媒体开展应急新闻报道，积极引导舆论</w:t>
            </w:r>
          </w:p>
        </w:tc>
      </w:tr>
      <w:tr w14:paraId="3C54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1" w:type="pct"/>
            <w:vMerge w:val="continue"/>
            <w:tcBorders>
              <w:tl2br w:val="nil"/>
              <w:tr2bl w:val="nil"/>
            </w:tcBorders>
            <w:vAlign w:val="center"/>
          </w:tcPr>
          <w:p w14:paraId="553B430F">
            <w:pPr>
              <w:jc w:val="center"/>
              <w:rPr>
                <w:rFonts w:ascii="仿宋" w:hAnsi="仿宋" w:eastAsia="仿宋" w:cs="仿宋"/>
              </w:rPr>
            </w:pPr>
          </w:p>
        </w:tc>
        <w:tc>
          <w:tcPr>
            <w:tcW w:w="954" w:type="pct"/>
            <w:tcBorders>
              <w:tl2br w:val="nil"/>
              <w:tr2bl w:val="nil"/>
            </w:tcBorders>
            <w:vAlign w:val="center"/>
          </w:tcPr>
          <w:p w14:paraId="2A336AB9">
            <w:pPr>
              <w:jc w:val="center"/>
              <w:rPr>
                <w:rFonts w:ascii="仿宋" w:hAnsi="仿宋" w:eastAsia="仿宋" w:cs="仿宋"/>
              </w:rPr>
            </w:pPr>
            <w:r>
              <w:rPr>
                <w:rFonts w:hint="eastAsia" w:ascii="仿宋" w:hAnsi="仿宋" w:eastAsia="仿宋" w:cs="仿宋"/>
              </w:rPr>
              <w:t>县发展改革局</w:t>
            </w:r>
          </w:p>
        </w:tc>
        <w:tc>
          <w:tcPr>
            <w:tcW w:w="3864" w:type="pct"/>
            <w:tcBorders>
              <w:tl2br w:val="nil"/>
              <w:tr2bl w:val="nil"/>
            </w:tcBorders>
            <w:vAlign w:val="center"/>
          </w:tcPr>
          <w:p w14:paraId="4D20EAC7">
            <w:pPr>
              <w:jc w:val="left"/>
              <w:rPr>
                <w:rFonts w:ascii="仿宋" w:hAnsi="仿宋" w:eastAsia="仿宋" w:cs="仿宋"/>
              </w:rPr>
            </w:pPr>
            <w:r>
              <w:rPr>
                <w:rFonts w:hint="eastAsia" w:ascii="仿宋" w:hAnsi="仿宋" w:eastAsia="仿宋" w:cs="仿宋"/>
              </w:rPr>
              <w:t>负责协调落实一般辐射事故中成品粮油和生活</w:t>
            </w:r>
            <w:bookmarkStart w:id="121" w:name="_GoBack"/>
            <w:bookmarkEnd w:id="121"/>
            <w:r>
              <w:rPr>
                <w:rFonts w:hint="eastAsia" w:ascii="仿宋" w:hAnsi="仿宋" w:eastAsia="仿宋" w:cs="仿宋"/>
                <w:lang w:eastAsia="zh-CN"/>
              </w:rPr>
              <w:t>必需品</w:t>
            </w:r>
            <w:r>
              <w:rPr>
                <w:rFonts w:hint="eastAsia" w:ascii="仿宋" w:hAnsi="仿宋" w:eastAsia="仿宋" w:cs="仿宋"/>
              </w:rPr>
              <w:t>等县级重要应急储备物资动用计划和指令</w:t>
            </w:r>
          </w:p>
        </w:tc>
      </w:tr>
      <w:tr w14:paraId="30D30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1" w:type="pct"/>
            <w:vMerge w:val="continue"/>
            <w:tcBorders>
              <w:tl2br w:val="nil"/>
              <w:tr2bl w:val="nil"/>
            </w:tcBorders>
            <w:vAlign w:val="center"/>
          </w:tcPr>
          <w:p w14:paraId="65D5426A">
            <w:pPr>
              <w:jc w:val="center"/>
              <w:rPr>
                <w:rFonts w:ascii="仿宋" w:hAnsi="仿宋" w:eastAsia="仿宋" w:cs="仿宋"/>
              </w:rPr>
            </w:pPr>
          </w:p>
        </w:tc>
        <w:tc>
          <w:tcPr>
            <w:tcW w:w="954" w:type="pct"/>
            <w:tcBorders>
              <w:tl2br w:val="nil"/>
              <w:tr2bl w:val="nil"/>
            </w:tcBorders>
            <w:vAlign w:val="center"/>
          </w:tcPr>
          <w:p w14:paraId="318B1CBA">
            <w:pPr>
              <w:jc w:val="center"/>
              <w:rPr>
                <w:rFonts w:ascii="仿宋" w:hAnsi="仿宋" w:eastAsia="仿宋" w:cs="仿宋"/>
              </w:rPr>
            </w:pPr>
            <w:r>
              <w:rPr>
                <w:rFonts w:hint="eastAsia" w:ascii="仿宋" w:hAnsi="仿宋" w:eastAsia="仿宋" w:cs="仿宋"/>
              </w:rPr>
              <w:t>县工业和科技局</w:t>
            </w:r>
          </w:p>
        </w:tc>
        <w:tc>
          <w:tcPr>
            <w:tcW w:w="3864" w:type="pct"/>
            <w:tcBorders>
              <w:tl2br w:val="nil"/>
              <w:tr2bl w:val="nil"/>
            </w:tcBorders>
            <w:vAlign w:val="center"/>
          </w:tcPr>
          <w:p w14:paraId="19190FC4">
            <w:pPr>
              <w:jc w:val="left"/>
              <w:rPr>
                <w:rFonts w:ascii="仿宋" w:hAnsi="仿宋" w:eastAsia="仿宋" w:cs="仿宋"/>
              </w:rPr>
            </w:pPr>
            <w:r>
              <w:rPr>
                <w:rFonts w:hint="eastAsia" w:ascii="仿宋" w:hAnsi="仿宋" w:eastAsia="仿宋" w:cs="仿宋"/>
              </w:rPr>
              <w:t>负责协调落实一般辐射事故中医药设备和防护用品等县级重要应急储备物资动用计划和指令</w:t>
            </w:r>
          </w:p>
        </w:tc>
      </w:tr>
      <w:tr w14:paraId="3EB68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 w:type="pct"/>
            <w:vMerge w:val="continue"/>
            <w:tcBorders>
              <w:tl2br w:val="nil"/>
              <w:tr2bl w:val="nil"/>
            </w:tcBorders>
            <w:vAlign w:val="center"/>
          </w:tcPr>
          <w:p w14:paraId="5F6E7463">
            <w:pPr>
              <w:jc w:val="center"/>
              <w:rPr>
                <w:rFonts w:ascii="仿宋" w:hAnsi="仿宋" w:eastAsia="仿宋" w:cs="仿宋"/>
              </w:rPr>
            </w:pPr>
          </w:p>
        </w:tc>
        <w:tc>
          <w:tcPr>
            <w:tcW w:w="954" w:type="pct"/>
            <w:tcBorders>
              <w:tl2br w:val="nil"/>
              <w:tr2bl w:val="nil"/>
            </w:tcBorders>
            <w:vAlign w:val="center"/>
          </w:tcPr>
          <w:p w14:paraId="4645C1C9">
            <w:pPr>
              <w:jc w:val="center"/>
              <w:rPr>
                <w:rFonts w:ascii="仿宋" w:hAnsi="仿宋" w:eastAsia="仿宋" w:cs="仿宋"/>
              </w:rPr>
            </w:pPr>
            <w:r>
              <w:rPr>
                <w:rFonts w:hint="eastAsia" w:ascii="仿宋" w:hAnsi="仿宋" w:eastAsia="仿宋" w:cs="仿宋"/>
              </w:rPr>
              <w:t>县公安局</w:t>
            </w:r>
          </w:p>
        </w:tc>
        <w:tc>
          <w:tcPr>
            <w:tcW w:w="3864" w:type="pct"/>
            <w:tcBorders>
              <w:tl2br w:val="nil"/>
              <w:tr2bl w:val="nil"/>
            </w:tcBorders>
            <w:vAlign w:val="center"/>
          </w:tcPr>
          <w:p w14:paraId="11BCEDF0">
            <w:pPr>
              <w:jc w:val="left"/>
              <w:rPr>
                <w:rFonts w:ascii="仿宋" w:hAnsi="仿宋" w:eastAsia="仿宋" w:cs="仿宋"/>
              </w:rPr>
            </w:pPr>
            <w:r>
              <w:rPr>
                <w:rFonts w:hint="eastAsia" w:ascii="仿宋" w:hAnsi="仿宋" w:eastAsia="仿宋" w:cs="仿宋"/>
              </w:rPr>
              <w:t>（1）根据县指挥部的统一部署，封闭事故现场，维护突发辐射事故发生地公共秩序；</w:t>
            </w:r>
          </w:p>
          <w:p w14:paraId="5BBFA6E3">
            <w:pPr>
              <w:jc w:val="left"/>
              <w:rPr>
                <w:rFonts w:ascii="仿宋" w:hAnsi="仿宋" w:eastAsia="仿宋" w:cs="仿宋"/>
              </w:rPr>
            </w:pPr>
            <w:r>
              <w:rPr>
                <w:rFonts w:hint="eastAsia" w:ascii="仿宋" w:hAnsi="仿宋" w:eastAsia="仿宋" w:cs="仿宋"/>
              </w:rPr>
              <w:t>（2）负责丢失、被盗放射源的立案侦查和追缴工作；</w:t>
            </w:r>
          </w:p>
          <w:p w14:paraId="3210862E">
            <w:pPr>
              <w:jc w:val="left"/>
              <w:rPr>
                <w:rFonts w:ascii="仿宋" w:hAnsi="仿宋" w:eastAsia="仿宋" w:cs="仿宋"/>
              </w:rPr>
            </w:pPr>
            <w:r>
              <w:rPr>
                <w:rFonts w:hint="eastAsia" w:ascii="仿宋" w:hAnsi="仿宋" w:eastAsia="仿宋" w:cs="仿宋"/>
              </w:rPr>
              <w:t>（3）设立现场警戒市和交通管制县域；</w:t>
            </w:r>
          </w:p>
          <w:p w14:paraId="592D701B">
            <w:pPr>
              <w:jc w:val="left"/>
              <w:rPr>
                <w:rFonts w:ascii="仿宋" w:hAnsi="仿宋" w:eastAsia="仿宋" w:cs="仿宋"/>
              </w:rPr>
            </w:pPr>
            <w:r>
              <w:rPr>
                <w:rFonts w:hint="eastAsia" w:ascii="仿宋" w:hAnsi="仿宋" w:eastAsia="仿宋" w:cs="仿宋"/>
              </w:rPr>
              <w:t>（4）负责转移、疏散受灾群众</w:t>
            </w:r>
          </w:p>
        </w:tc>
      </w:tr>
      <w:tr w14:paraId="5ED7C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 w:type="pct"/>
            <w:vMerge w:val="continue"/>
            <w:tcBorders>
              <w:tl2br w:val="nil"/>
              <w:tr2bl w:val="nil"/>
            </w:tcBorders>
            <w:vAlign w:val="center"/>
          </w:tcPr>
          <w:p w14:paraId="2CB994C9">
            <w:pPr>
              <w:jc w:val="center"/>
              <w:rPr>
                <w:rFonts w:ascii="仿宋" w:hAnsi="仿宋" w:eastAsia="仿宋" w:cs="仿宋"/>
              </w:rPr>
            </w:pPr>
          </w:p>
        </w:tc>
        <w:tc>
          <w:tcPr>
            <w:tcW w:w="954" w:type="pct"/>
            <w:tcBorders>
              <w:tl2br w:val="nil"/>
              <w:tr2bl w:val="nil"/>
            </w:tcBorders>
            <w:vAlign w:val="center"/>
          </w:tcPr>
          <w:p w14:paraId="1C945F85">
            <w:pPr>
              <w:jc w:val="center"/>
              <w:rPr>
                <w:rFonts w:ascii="仿宋" w:hAnsi="仿宋" w:eastAsia="仿宋" w:cs="仿宋"/>
              </w:rPr>
            </w:pPr>
            <w:r>
              <w:rPr>
                <w:rFonts w:hint="eastAsia" w:ascii="仿宋" w:hAnsi="仿宋" w:eastAsia="仿宋" w:cs="仿宋"/>
              </w:rPr>
              <w:t>县财政局</w:t>
            </w:r>
          </w:p>
        </w:tc>
        <w:tc>
          <w:tcPr>
            <w:tcW w:w="3864" w:type="pct"/>
            <w:tcBorders>
              <w:tl2br w:val="nil"/>
              <w:tr2bl w:val="nil"/>
            </w:tcBorders>
            <w:vAlign w:val="center"/>
          </w:tcPr>
          <w:p w14:paraId="18D9B107">
            <w:pPr>
              <w:jc w:val="left"/>
              <w:rPr>
                <w:rFonts w:ascii="仿宋" w:hAnsi="仿宋" w:eastAsia="仿宋" w:cs="仿宋"/>
              </w:rPr>
            </w:pPr>
            <w:r>
              <w:rPr>
                <w:rFonts w:hint="eastAsia" w:ascii="仿宋" w:hAnsi="仿宋" w:eastAsia="仿宋" w:cs="仿宋"/>
              </w:rPr>
              <w:t>负责保障县级辐射事故应急能力建设经费，确保县级辐射事故处置所需装备、器材等物资经费，并做好经费使用情况的监督检查工作</w:t>
            </w:r>
          </w:p>
        </w:tc>
      </w:tr>
      <w:tr w14:paraId="1B5D7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81" w:type="pct"/>
            <w:vMerge w:val="continue"/>
            <w:tcBorders>
              <w:tl2br w:val="nil"/>
              <w:tr2bl w:val="nil"/>
            </w:tcBorders>
            <w:vAlign w:val="center"/>
          </w:tcPr>
          <w:p w14:paraId="1B154E10">
            <w:pPr>
              <w:jc w:val="center"/>
              <w:rPr>
                <w:rFonts w:ascii="仿宋" w:hAnsi="仿宋" w:eastAsia="仿宋" w:cs="仿宋"/>
              </w:rPr>
            </w:pPr>
          </w:p>
        </w:tc>
        <w:tc>
          <w:tcPr>
            <w:tcW w:w="954" w:type="pct"/>
            <w:tcBorders>
              <w:tl2br w:val="nil"/>
              <w:tr2bl w:val="nil"/>
            </w:tcBorders>
            <w:vAlign w:val="center"/>
          </w:tcPr>
          <w:p w14:paraId="3EBB0BB8">
            <w:pPr>
              <w:jc w:val="center"/>
              <w:rPr>
                <w:rFonts w:ascii="仿宋" w:hAnsi="仿宋" w:eastAsia="仿宋" w:cs="仿宋"/>
              </w:rPr>
            </w:pPr>
            <w:r>
              <w:rPr>
                <w:rFonts w:hint="eastAsia" w:ascii="仿宋" w:hAnsi="仿宋" w:eastAsia="仿宋" w:cs="仿宋"/>
              </w:rPr>
              <w:t>吕梁市生态环境局文水分局</w:t>
            </w:r>
          </w:p>
        </w:tc>
        <w:tc>
          <w:tcPr>
            <w:tcW w:w="3864" w:type="pct"/>
            <w:tcBorders>
              <w:tl2br w:val="nil"/>
              <w:tr2bl w:val="nil"/>
            </w:tcBorders>
            <w:vAlign w:val="center"/>
          </w:tcPr>
          <w:p w14:paraId="00311A03">
            <w:pPr>
              <w:jc w:val="left"/>
              <w:rPr>
                <w:rFonts w:ascii="仿宋" w:hAnsi="仿宋" w:eastAsia="仿宋" w:cs="仿宋"/>
              </w:rPr>
            </w:pPr>
            <w:r>
              <w:rPr>
                <w:rFonts w:hint="eastAsia" w:ascii="仿宋" w:hAnsi="仿宋" w:eastAsia="仿宋" w:cs="仿宋"/>
              </w:rPr>
              <w:t>（1）负责做好辐射事故应急响应准备和各项措施的落实工作，保障整个应急响应和应急处理工作科学、有序进行；</w:t>
            </w:r>
          </w:p>
          <w:p w14:paraId="0A1980FA">
            <w:pPr>
              <w:jc w:val="left"/>
              <w:rPr>
                <w:rFonts w:ascii="仿宋" w:hAnsi="仿宋" w:eastAsia="仿宋" w:cs="仿宋"/>
              </w:rPr>
            </w:pPr>
            <w:r>
              <w:rPr>
                <w:rFonts w:hint="eastAsia" w:ascii="仿宋" w:hAnsi="仿宋" w:eastAsia="仿宋" w:cs="仿宋"/>
              </w:rPr>
              <w:t>（2）负责向上级有关部门报告辐射事故应急响应和应急处理的信息；</w:t>
            </w:r>
          </w:p>
          <w:p w14:paraId="3AB1CC9C">
            <w:pPr>
              <w:jc w:val="left"/>
              <w:rPr>
                <w:rFonts w:ascii="仿宋" w:hAnsi="仿宋" w:eastAsia="仿宋" w:cs="仿宋"/>
              </w:rPr>
            </w:pPr>
            <w:r>
              <w:rPr>
                <w:rFonts w:hint="eastAsia" w:ascii="仿宋" w:hAnsi="仿宋" w:eastAsia="仿宋" w:cs="仿宋"/>
              </w:rPr>
              <w:t>（3）负责安排落实现场辐射环境应急监测工作和防护行动；</w:t>
            </w:r>
          </w:p>
          <w:p w14:paraId="01BD01BD">
            <w:pPr>
              <w:jc w:val="left"/>
              <w:rPr>
                <w:rFonts w:ascii="仿宋" w:hAnsi="仿宋" w:eastAsia="仿宋" w:cs="仿宋"/>
              </w:rPr>
            </w:pPr>
            <w:r>
              <w:rPr>
                <w:rFonts w:hint="eastAsia" w:ascii="仿宋" w:hAnsi="仿宋" w:eastAsia="仿宋" w:cs="仿宋"/>
              </w:rPr>
              <w:t>（4）负责在编制部门年度预算时向县财政局提出应急能力建设和装备配置费用，保障应急能力和应急处置所需资源</w:t>
            </w:r>
          </w:p>
        </w:tc>
      </w:tr>
      <w:tr w14:paraId="68539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 w:type="pct"/>
            <w:vMerge w:val="continue"/>
            <w:tcBorders>
              <w:tl2br w:val="nil"/>
              <w:tr2bl w:val="nil"/>
            </w:tcBorders>
            <w:vAlign w:val="center"/>
          </w:tcPr>
          <w:p w14:paraId="20BBD08C">
            <w:pPr>
              <w:jc w:val="center"/>
              <w:rPr>
                <w:rFonts w:ascii="仿宋" w:hAnsi="仿宋" w:eastAsia="仿宋" w:cs="仿宋"/>
              </w:rPr>
            </w:pPr>
          </w:p>
        </w:tc>
        <w:tc>
          <w:tcPr>
            <w:tcW w:w="954" w:type="pct"/>
            <w:tcBorders>
              <w:tl2br w:val="nil"/>
              <w:tr2bl w:val="nil"/>
            </w:tcBorders>
            <w:vAlign w:val="center"/>
          </w:tcPr>
          <w:p w14:paraId="5367B6CC">
            <w:pPr>
              <w:jc w:val="center"/>
              <w:rPr>
                <w:rFonts w:ascii="仿宋" w:hAnsi="仿宋" w:eastAsia="仿宋" w:cs="仿宋"/>
              </w:rPr>
            </w:pPr>
            <w:r>
              <w:rPr>
                <w:rFonts w:hint="eastAsia" w:ascii="仿宋" w:hAnsi="仿宋" w:eastAsia="仿宋" w:cs="仿宋"/>
              </w:rPr>
              <w:t>县卫生健康局</w:t>
            </w:r>
          </w:p>
        </w:tc>
        <w:tc>
          <w:tcPr>
            <w:tcW w:w="3864" w:type="pct"/>
            <w:tcBorders>
              <w:tl2br w:val="nil"/>
              <w:tr2bl w:val="nil"/>
            </w:tcBorders>
            <w:vAlign w:val="center"/>
          </w:tcPr>
          <w:p w14:paraId="55F85BD7">
            <w:pPr>
              <w:jc w:val="left"/>
              <w:rPr>
                <w:rFonts w:ascii="仿宋" w:hAnsi="仿宋" w:eastAsia="仿宋" w:cs="仿宋"/>
              </w:rPr>
            </w:pPr>
            <w:r>
              <w:rPr>
                <w:rFonts w:hint="eastAsia" w:ascii="仿宋" w:hAnsi="仿宋" w:eastAsia="仿宋" w:cs="仿宋"/>
              </w:rPr>
              <w:t>（1）负责组织协调医疗卫生机构开展辐射损伤人员转运、救治、现场医学处理等工作；</w:t>
            </w:r>
          </w:p>
          <w:p w14:paraId="793AF35C">
            <w:pPr>
              <w:jc w:val="left"/>
              <w:rPr>
                <w:rFonts w:ascii="仿宋" w:hAnsi="仿宋" w:eastAsia="仿宋" w:cs="仿宋"/>
              </w:rPr>
            </w:pPr>
            <w:r>
              <w:rPr>
                <w:rFonts w:hint="eastAsia" w:ascii="仿宋" w:hAnsi="仿宋" w:eastAsia="仿宋" w:cs="仿宋"/>
              </w:rPr>
              <w:t>（2）督导开展紧急医学救援准备；</w:t>
            </w:r>
          </w:p>
          <w:p w14:paraId="5A1E0072">
            <w:pPr>
              <w:jc w:val="left"/>
              <w:rPr>
                <w:rFonts w:ascii="仿宋" w:hAnsi="仿宋" w:eastAsia="仿宋" w:cs="仿宋"/>
              </w:rPr>
            </w:pPr>
            <w:r>
              <w:rPr>
                <w:rFonts w:hint="eastAsia" w:ascii="仿宋" w:hAnsi="仿宋" w:eastAsia="仿宋" w:cs="仿宋"/>
              </w:rPr>
              <w:t>（3）根据需要和指令，协调、调动县内医疗卫生资源并给予指导和支援</w:t>
            </w:r>
          </w:p>
        </w:tc>
      </w:tr>
      <w:tr w14:paraId="15845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1" w:type="pct"/>
            <w:vMerge w:val="continue"/>
            <w:tcBorders>
              <w:tl2br w:val="nil"/>
              <w:tr2bl w:val="nil"/>
            </w:tcBorders>
            <w:vAlign w:val="center"/>
          </w:tcPr>
          <w:p w14:paraId="31241611">
            <w:pPr>
              <w:jc w:val="center"/>
              <w:rPr>
                <w:rFonts w:ascii="仿宋" w:hAnsi="仿宋" w:eastAsia="仿宋" w:cs="仿宋"/>
              </w:rPr>
            </w:pPr>
          </w:p>
        </w:tc>
        <w:tc>
          <w:tcPr>
            <w:tcW w:w="954" w:type="pct"/>
            <w:tcBorders>
              <w:tl2br w:val="nil"/>
              <w:tr2bl w:val="nil"/>
            </w:tcBorders>
            <w:vAlign w:val="center"/>
          </w:tcPr>
          <w:p w14:paraId="4869DD4C">
            <w:pPr>
              <w:jc w:val="center"/>
              <w:rPr>
                <w:rFonts w:ascii="仿宋" w:hAnsi="仿宋" w:eastAsia="仿宋" w:cs="仿宋"/>
              </w:rPr>
            </w:pPr>
            <w:r>
              <w:rPr>
                <w:rFonts w:hint="eastAsia" w:ascii="仿宋" w:hAnsi="仿宋" w:eastAsia="仿宋" w:cs="仿宋"/>
              </w:rPr>
              <w:t>县应急管理局</w:t>
            </w:r>
          </w:p>
        </w:tc>
        <w:tc>
          <w:tcPr>
            <w:tcW w:w="3864" w:type="pct"/>
            <w:tcBorders>
              <w:tl2br w:val="nil"/>
              <w:tr2bl w:val="nil"/>
            </w:tcBorders>
            <w:vAlign w:val="center"/>
          </w:tcPr>
          <w:p w14:paraId="693880A4">
            <w:pPr>
              <w:jc w:val="left"/>
              <w:rPr>
                <w:rFonts w:ascii="仿宋" w:hAnsi="仿宋" w:eastAsia="仿宋" w:cs="仿宋"/>
              </w:rPr>
            </w:pPr>
            <w:r>
              <w:rPr>
                <w:rFonts w:hint="eastAsia" w:ascii="仿宋" w:hAnsi="仿宋" w:eastAsia="仿宋" w:cs="仿宋"/>
              </w:rPr>
              <w:t>负责协调有关救援力量、物资参与辐射事故应急抢险救援</w:t>
            </w:r>
          </w:p>
        </w:tc>
      </w:tr>
      <w:tr w14:paraId="31123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1" w:type="pct"/>
            <w:vMerge w:val="continue"/>
            <w:tcBorders>
              <w:tl2br w:val="nil"/>
              <w:tr2bl w:val="nil"/>
            </w:tcBorders>
            <w:vAlign w:val="center"/>
          </w:tcPr>
          <w:p w14:paraId="0F52399E">
            <w:pPr>
              <w:jc w:val="center"/>
              <w:rPr>
                <w:rFonts w:ascii="仿宋" w:hAnsi="仿宋" w:eastAsia="仿宋" w:cs="仿宋"/>
              </w:rPr>
            </w:pPr>
          </w:p>
        </w:tc>
        <w:tc>
          <w:tcPr>
            <w:tcW w:w="954" w:type="pct"/>
            <w:tcBorders>
              <w:tl2br w:val="nil"/>
              <w:tr2bl w:val="nil"/>
            </w:tcBorders>
            <w:vAlign w:val="center"/>
          </w:tcPr>
          <w:p w14:paraId="2168D004">
            <w:pPr>
              <w:jc w:val="center"/>
              <w:rPr>
                <w:rFonts w:ascii="仿宋" w:hAnsi="仿宋" w:eastAsia="仿宋" w:cs="仿宋"/>
              </w:rPr>
            </w:pPr>
            <w:r>
              <w:rPr>
                <w:rFonts w:hint="eastAsia" w:ascii="仿宋" w:hAnsi="仿宋" w:eastAsia="仿宋" w:cs="仿宋"/>
              </w:rPr>
              <w:t>县人民武装部</w:t>
            </w:r>
          </w:p>
        </w:tc>
        <w:tc>
          <w:tcPr>
            <w:tcW w:w="3864" w:type="pct"/>
            <w:tcBorders>
              <w:tl2br w:val="nil"/>
              <w:tr2bl w:val="nil"/>
            </w:tcBorders>
            <w:vAlign w:val="center"/>
          </w:tcPr>
          <w:p w14:paraId="098428B9">
            <w:pPr>
              <w:jc w:val="left"/>
              <w:rPr>
                <w:rFonts w:ascii="仿宋" w:hAnsi="仿宋" w:eastAsia="仿宋" w:cs="仿宋"/>
              </w:rPr>
            </w:pPr>
            <w:r>
              <w:rPr>
                <w:rFonts w:hint="eastAsia" w:ascii="仿宋" w:hAnsi="仿宋" w:eastAsia="仿宋" w:cs="仿宋"/>
              </w:rPr>
              <w:t>负责组织民兵，协调驻军、预备役部队参加事故救援工作</w:t>
            </w:r>
          </w:p>
        </w:tc>
      </w:tr>
      <w:tr w14:paraId="31823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1" w:type="pct"/>
            <w:vMerge w:val="continue"/>
            <w:tcBorders>
              <w:tl2br w:val="nil"/>
              <w:tr2bl w:val="nil"/>
            </w:tcBorders>
            <w:vAlign w:val="center"/>
          </w:tcPr>
          <w:p w14:paraId="6AC2DE42">
            <w:pPr>
              <w:jc w:val="center"/>
              <w:rPr>
                <w:rFonts w:ascii="仿宋" w:hAnsi="仿宋" w:eastAsia="仿宋" w:cs="仿宋"/>
              </w:rPr>
            </w:pPr>
          </w:p>
        </w:tc>
        <w:tc>
          <w:tcPr>
            <w:tcW w:w="954" w:type="pct"/>
            <w:tcBorders>
              <w:tl2br w:val="nil"/>
              <w:tr2bl w:val="nil"/>
            </w:tcBorders>
            <w:vAlign w:val="center"/>
          </w:tcPr>
          <w:p w14:paraId="4C52269D">
            <w:pPr>
              <w:jc w:val="center"/>
              <w:rPr>
                <w:rFonts w:ascii="仿宋" w:hAnsi="仿宋" w:eastAsia="仿宋" w:cs="仿宋"/>
              </w:rPr>
            </w:pPr>
            <w:r>
              <w:rPr>
                <w:rFonts w:hint="eastAsia" w:ascii="仿宋" w:hAnsi="仿宋" w:eastAsia="仿宋" w:cs="仿宋"/>
              </w:rPr>
              <w:t>武警文水中队</w:t>
            </w:r>
          </w:p>
        </w:tc>
        <w:tc>
          <w:tcPr>
            <w:tcW w:w="3864" w:type="pct"/>
            <w:tcBorders>
              <w:tl2br w:val="nil"/>
              <w:tr2bl w:val="nil"/>
            </w:tcBorders>
            <w:vAlign w:val="center"/>
          </w:tcPr>
          <w:p w14:paraId="02FBDF15">
            <w:pPr>
              <w:jc w:val="left"/>
              <w:rPr>
                <w:rFonts w:ascii="仿宋" w:hAnsi="仿宋" w:eastAsia="仿宋" w:cs="仿宋"/>
              </w:rPr>
            </w:pPr>
            <w:r>
              <w:rPr>
                <w:rFonts w:hint="eastAsia" w:ascii="仿宋" w:hAnsi="仿宋" w:eastAsia="仿宋" w:cs="仿宋"/>
              </w:rPr>
              <w:t>负责组织协调驻地武警部队参加辐射事故的应急救援工作</w:t>
            </w:r>
          </w:p>
        </w:tc>
      </w:tr>
      <w:tr w14:paraId="377E6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1" w:type="pct"/>
            <w:vMerge w:val="continue"/>
            <w:tcBorders>
              <w:tl2br w:val="nil"/>
              <w:tr2bl w:val="nil"/>
            </w:tcBorders>
            <w:vAlign w:val="center"/>
          </w:tcPr>
          <w:p w14:paraId="564535F6">
            <w:pPr>
              <w:jc w:val="center"/>
              <w:rPr>
                <w:rFonts w:ascii="仿宋" w:hAnsi="仿宋" w:eastAsia="仿宋" w:cs="仿宋"/>
              </w:rPr>
            </w:pPr>
          </w:p>
        </w:tc>
        <w:tc>
          <w:tcPr>
            <w:tcW w:w="954" w:type="pct"/>
            <w:tcBorders>
              <w:tl2br w:val="nil"/>
              <w:tr2bl w:val="nil"/>
            </w:tcBorders>
            <w:vAlign w:val="center"/>
          </w:tcPr>
          <w:p w14:paraId="296ECB2F">
            <w:pPr>
              <w:jc w:val="center"/>
              <w:rPr>
                <w:rFonts w:ascii="仿宋" w:hAnsi="仿宋" w:eastAsia="仿宋" w:cs="仿宋"/>
              </w:rPr>
            </w:pPr>
            <w:r>
              <w:rPr>
                <w:rFonts w:hint="eastAsia" w:ascii="仿宋" w:hAnsi="仿宋" w:eastAsia="仿宋" w:cs="仿宋"/>
              </w:rPr>
              <w:t>县消防救援大队</w:t>
            </w:r>
          </w:p>
        </w:tc>
        <w:tc>
          <w:tcPr>
            <w:tcW w:w="3864" w:type="pct"/>
            <w:tcBorders>
              <w:tl2br w:val="nil"/>
              <w:tr2bl w:val="nil"/>
            </w:tcBorders>
            <w:vAlign w:val="center"/>
          </w:tcPr>
          <w:p w14:paraId="58CB5AC3">
            <w:pPr>
              <w:jc w:val="left"/>
              <w:rPr>
                <w:rFonts w:ascii="仿宋" w:hAnsi="仿宋" w:eastAsia="仿宋" w:cs="仿宋"/>
              </w:rPr>
            </w:pPr>
            <w:r>
              <w:rPr>
                <w:rFonts w:hint="eastAsia" w:ascii="仿宋" w:hAnsi="仿宋" w:eastAsia="仿宋" w:cs="仿宋"/>
              </w:rPr>
              <w:t>负责辐射事故的应急救援工作</w:t>
            </w:r>
          </w:p>
        </w:tc>
      </w:tr>
      <w:tr w14:paraId="1FFD4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1" w:type="pct"/>
            <w:vMerge w:val="continue"/>
            <w:tcBorders>
              <w:tl2br w:val="nil"/>
              <w:tr2bl w:val="nil"/>
            </w:tcBorders>
            <w:vAlign w:val="center"/>
          </w:tcPr>
          <w:p w14:paraId="2EA71B0C">
            <w:pPr>
              <w:jc w:val="center"/>
              <w:rPr>
                <w:rFonts w:ascii="仿宋" w:hAnsi="仿宋" w:eastAsia="仿宋" w:cs="仿宋"/>
              </w:rPr>
            </w:pPr>
          </w:p>
        </w:tc>
        <w:tc>
          <w:tcPr>
            <w:tcW w:w="954" w:type="pct"/>
            <w:tcBorders>
              <w:tl2br w:val="nil"/>
              <w:tr2bl w:val="nil"/>
            </w:tcBorders>
            <w:vAlign w:val="center"/>
          </w:tcPr>
          <w:p w14:paraId="58A1D17B">
            <w:pPr>
              <w:jc w:val="center"/>
              <w:rPr>
                <w:rFonts w:ascii="仿宋" w:hAnsi="仿宋" w:eastAsia="仿宋" w:cs="仿宋"/>
              </w:rPr>
            </w:pPr>
            <w:r>
              <w:rPr>
                <w:rFonts w:hint="eastAsia" w:ascii="仿宋" w:hAnsi="仿宋" w:eastAsia="仿宋" w:cs="仿宋"/>
              </w:rPr>
              <w:t>县融媒体中心</w:t>
            </w:r>
          </w:p>
        </w:tc>
        <w:tc>
          <w:tcPr>
            <w:tcW w:w="3864" w:type="pct"/>
            <w:tcBorders>
              <w:tl2br w:val="nil"/>
              <w:tr2bl w:val="nil"/>
            </w:tcBorders>
            <w:vAlign w:val="center"/>
          </w:tcPr>
          <w:p w14:paraId="42D68506">
            <w:pPr>
              <w:jc w:val="left"/>
              <w:rPr>
                <w:rFonts w:ascii="仿宋" w:hAnsi="仿宋" w:eastAsia="仿宋" w:cs="仿宋"/>
              </w:rPr>
            </w:pPr>
            <w:r>
              <w:rPr>
                <w:rFonts w:hint="eastAsia" w:ascii="仿宋" w:hAnsi="仿宋" w:eastAsia="仿宋" w:cs="仿宋"/>
              </w:rPr>
              <w:t>配合县指挥部掌握舆论引导主动权，第一时间获取和发布突发事件的全面、真实和客观的信息</w:t>
            </w:r>
          </w:p>
        </w:tc>
      </w:tr>
    </w:tbl>
    <w:p w14:paraId="4062C2B3">
      <w:pPr>
        <w:sectPr>
          <w:pgSz w:w="16838" w:h="11906" w:orient="landscape"/>
          <w:pgMar w:top="1800" w:right="1440" w:bottom="1800" w:left="1440" w:header="851" w:footer="992" w:gutter="0"/>
          <w:cols w:space="425" w:num="1"/>
          <w:docGrid w:type="lines" w:linePitch="312" w:charSpace="0"/>
        </w:sectPr>
      </w:pPr>
    </w:p>
    <w:p w14:paraId="6AE3417D">
      <w:pPr>
        <w:pStyle w:val="8"/>
        <w:keepNext w:val="0"/>
        <w:keepLines w:val="0"/>
        <w:pageBreakBefore w:val="0"/>
        <w:widowControl w:val="0"/>
        <w:kinsoku/>
        <w:wordWrap/>
        <w:overflowPunct/>
        <w:topLinePunct w:val="0"/>
        <w:autoSpaceDE/>
        <w:autoSpaceDN/>
        <w:bidi w:val="0"/>
        <w:adjustRightInd/>
        <w:snapToGrid w:val="0"/>
        <w:spacing w:after="0" w:line="360" w:lineRule="auto"/>
        <w:ind w:firstLine="0" w:firstLineChars="0"/>
        <w:textAlignment w:val="auto"/>
        <w:outlineLvl w:val="9"/>
        <w:rPr>
          <w:b/>
          <w:bCs/>
          <w:sz w:val="28"/>
          <w:szCs w:val="28"/>
        </w:rPr>
      </w:pPr>
      <w:bookmarkStart w:id="100" w:name="_Toc17378"/>
      <w:bookmarkStart w:id="101" w:name="_Toc31584"/>
      <w:bookmarkStart w:id="102" w:name="_Toc26418"/>
      <w:bookmarkStart w:id="103" w:name="_Toc25352"/>
      <w:bookmarkStart w:id="104" w:name="_Toc19189"/>
      <w:bookmarkStart w:id="105" w:name="_Toc32307"/>
      <w:bookmarkStart w:id="106" w:name="_Toc10273"/>
      <w:r>
        <w:rPr>
          <w:b/>
          <w:bCs/>
          <w:sz w:val="28"/>
          <w:szCs w:val="28"/>
        </w:rPr>
        <w:t>附件3</w:t>
      </w:r>
      <w:bookmarkEnd w:id="100"/>
      <w:bookmarkEnd w:id="101"/>
      <w:bookmarkEnd w:id="102"/>
      <w:bookmarkEnd w:id="103"/>
      <w:bookmarkEnd w:id="104"/>
      <w:bookmarkEnd w:id="105"/>
      <w:bookmarkEnd w:id="106"/>
    </w:p>
    <w:p w14:paraId="3DC8ADD0">
      <w:pPr>
        <w:pStyle w:val="8"/>
        <w:keepNext w:val="0"/>
        <w:keepLines w:val="0"/>
        <w:pageBreakBefore w:val="0"/>
        <w:widowControl w:val="0"/>
        <w:kinsoku/>
        <w:wordWrap/>
        <w:overflowPunct/>
        <w:topLinePunct w:val="0"/>
        <w:autoSpaceDE/>
        <w:autoSpaceDN/>
        <w:bidi w:val="0"/>
        <w:adjustRightInd/>
        <w:snapToGrid w:val="0"/>
        <w:spacing w:after="0" w:line="600" w:lineRule="exact"/>
        <w:ind w:firstLine="0" w:firstLineChars="0"/>
        <w:jc w:val="center"/>
        <w:textAlignment w:val="auto"/>
        <w:outlineLvl w:val="9"/>
        <w:rPr>
          <w:b/>
          <w:bCs/>
          <w:sz w:val="44"/>
          <w:szCs w:val="44"/>
        </w:rPr>
      </w:pPr>
      <w:r>
        <w:rPr>
          <w:rFonts w:hint="eastAsia"/>
          <w:b/>
          <w:bCs/>
          <w:sz w:val="44"/>
          <w:szCs w:val="44"/>
        </w:rPr>
        <w:t>文水县</w:t>
      </w:r>
      <w:r>
        <w:rPr>
          <w:b/>
          <w:bCs/>
          <w:sz w:val="44"/>
          <w:szCs w:val="44"/>
        </w:rPr>
        <w:t>辐射事故分级标准、响应条件及应急措施表</w:t>
      </w:r>
    </w:p>
    <w:tbl>
      <w:tblPr>
        <w:tblStyle w:val="9"/>
        <w:tblpPr w:leftFromText="180" w:rightFromText="180" w:vertAnchor="text" w:horzAnchor="page" w:tblpXSpec="center" w:tblpY="179"/>
        <w:tblOverlap w:val="never"/>
        <w:tblW w:w="1334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3339"/>
        <w:gridCol w:w="2984"/>
        <w:gridCol w:w="2981"/>
        <w:gridCol w:w="2982"/>
      </w:tblGrid>
      <w:tr w14:paraId="7275D8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3" w:type="dxa"/>
            <w:tcBorders>
              <w:tl2br w:val="nil"/>
              <w:tr2bl w:val="nil"/>
            </w:tcBorders>
            <w:tcMar>
              <w:top w:w="15" w:type="dxa"/>
              <w:left w:w="15" w:type="dxa"/>
              <w:right w:w="15" w:type="dxa"/>
            </w:tcMar>
            <w:vAlign w:val="center"/>
          </w:tcPr>
          <w:p w14:paraId="0C299547">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sz w:val="28"/>
                <w:szCs w:val="28"/>
              </w:rPr>
            </w:pPr>
          </w:p>
        </w:tc>
        <w:tc>
          <w:tcPr>
            <w:tcW w:w="3339" w:type="dxa"/>
            <w:tcBorders>
              <w:tl2br w:val="nil"/>
              <w:tr2bl w:val="nil"/>
            </w:tcBorders>
            <w:tcMar>
              <w:top w:w="15" w:type="dxa"/>
              <w:left w:w="15" w:type="dxa"/>
              <w:right w:w="15" w:type="dxa"/>
            </w:tcMar>
            <w:vAlign w:val="center"/>
          </w:tcPr>
          <w:p w14:paraId="2163CA44">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bCs/>
                <w:sz w:val="28"/>
                <w:szCs w:val="28"/>
              </w:rPr>
            </w:pPr>
            <w:r>
              <w:rPr>
                <w:rFonts w:eastAsia="仿宋"/>
                <w:b/>
                <w:bCs/>
                <w:kern w:val="0"/>
                <w:sz w:val="28"/>
                <w:szCs w:val="28"/>
                <w:lang w:bidi="ar"/>
              </w:rPr>
              <w:t>特别重大辐射事故</w:t>
            </w:r>
          </w:p>
        </w:tc>
        <w:tc>
          <w:tcPr>
            <w:tcW w:w="2984" w:type="dxa"/>
            <w:tcBorders>
              <w:tl2br w:val="nil"/>
              <w:tr2bl w:val="nil"/>
            </w:tcBorders>
            <w:tcMar>
              <w:top w:w="15" w:type="dxa"/>
              <w:left w:w="15" w:type="dxa"/>
              <w:right w:w="15" w:type="dxa"/>
            </w:tcMar>
            <w:vAlign w:val="center"/>
          </w:tcPr>
          <w:p w14:paraId="3080E328">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bCs/>
                <w:sz w:val="28"/>
                <w:szCs w:val="28"/>
              </w:rPr>
            </w:pPr>
            <w:r>
              <w:rPr>
                <w:rFonts w:eastAsia="仿宋"/>
                <w:b/>
                <w:bCs/>
                <w:kern w:val="0"/>
                <w:sz w:val="28"/>
                <w:szCs w:val="28"/>
                <w:lang w:bidi="ar"/>
              </w:rPr>
              <w:t>重大辐射事故</w:t>
            </w:r>
          </w:p>
        </w:tc>
        <w:tc>
          <w:tcPr>
            <w:tcW w:w="2981" w:type="dxa"/>
            <w:tcBorders>
              <w:tl2br w:val="nil"/>
              <w:tr2bl w:val="nil"/>
            </w:tcBorders>
            <w:tcMar>
              <w:top w:w="15" w:type="dxa"/>
              <w:left w:w="15" w:type="dxa"/>
              <w:right w:w="15" w:type="dxa"/>
            </w:tcMar>
            <w:vAlign w:val="center"/>
          </w:tcPr>
          <w:p w14:paraId="562B91BE">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bCs/>
                <w:kern w:val="0"/>
                <w:sz w:val="28"/>
                <w:szCs w:val="28"/>
                <w:lang w:bidi="ar"/>
              </w:rPr>
            </w:pPr>
            <w:r>
              <w:rPr>
                <w:rFonts w:eastAsia="仿宋"/>
                <w:b/>
                <w:bCs/>
                <w:kern w:val="0"/>
                <w:sz w:val="28"/>
                <w:szCs w:val="28"/>
                <w:lang w:bidi="ar"/>
              </w:rPr>
              <w:t>较大辐射事故</w:t>
            </w:r>
          </w:p>
        </w:tc>
        <w:tc>
          <w:tcPr>
            <w:tcW w:w="2982" w:type="dxa"/>
            <w:tcBorders>
              <w:tl2br w:val="nil"/>
              <w:tr2bl w:val="nil"/>
            </w:tcBorders>
            <w:tcMar>
              <w:top w:w="15" w:type="dxa"/>
              <w:left w:w="15" w:type="dxa"/>
              <w:right w:w="15" w:type="dxa"/>
            </w:tcMar>
            <w:vAlign w:val="center"/>
          </w:tcPr>
          <w:p w14:paraId="78306A03">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bCs/>
                <w:sz w:val="28"/>
                <w:szCs w:val="28"/>
              </w:rPr>
            </w:pPr>
            <w:r>
              <w:rPr>
                <w:rFonts w:eastAsia="仿宋"/>
                <w:b/>
                <w:bCs/>
                <w:kern w:val="0"/>
                <w:sz w:val="28"/>
                <w:szCs w:val="28"/>
                <w:lang w:bidi="ar"/>
              </w:rPr>
              <w:t>一般辐射事故</w:t>
            </w:r>
          </w:p>
        </w:tc>
      </w:tr>
      <w:tr w14:paraId="23E087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2" w:hRule="atLeast"/>
          <w:jc w:val="center"/>
        </w:trPr>
        <w:tc>
          <w:tcPr>
            <w:tcW w:w="1063" w:type="dxa"/>
            <w:tcBorders>
              <w:tl2br w:val="nil"/>
              <w:tr2bl w:val="nil"/>
            </w:tcBorders>
            <w:tcMar>
              <w:top w:w="15" w:type="dxa"/>
              <w:left w:w="15" w:type="dxa"/>
              <w:right w:w="15" w:type="dxa"/>
            </w:tcMar>
            <w:vAlign w:val="center"/>
          </w:tcPr>
          <w:p w14:paraId="57EC5EFC">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sz w:val="24"/>
              </w:rPr>
            </w:pPr>
            <w:r>
              <w:rPr>
                <w:rFonts w:eastAsia="仿宋"/>
                <w:b/>
                <w:kern w:val="0"/>
                <w:sz w:val="24"/>
                <w:lang w:bidi="ar"/>
              </w:rPr>
              <w:t>分级标准</w:t>
            </w:r>
          </w:p>
        </w:tc>
        <w:tc>
          <w:tcPr>
            <w:tcW w:w="3339" w:type="dxa"/>
            <w:tcBorders>
              <w:tl2br w:val="nil"/>
              <w:tr2bl w:val="nil"/>
            </w:tcBorders>
            <w:tcMar>
              <w:top w:w="15" w:type="dxa"/>
              <w:left w:w="15" w:type="dxa"/>
              <w:right w:w="15" w:type="dxa"/>
            </w:tcMar>
          </w:tcPr>
          <w:p w14:paraId="2837B0F9">
            <w:pPr>
              <w:keepNext w:val="0"/>
              <w:keepLines w:val="0"/>
              <w:pageBreakBefore w:val="0"/>
              <w:widowControl/>
              <w:kinsoku/>
              <w:wordWrap/>
              <w:overflowPunct/>
              <w:topLinePunct w:val="0"/>
              <w:autoSpaceDE/>
              <w:autoSpaceDN/>
              <w:bidi w:val="0"/>
              <w:adjustRightInd/>
              <w:snapToGrid/>
              <w:ind w:firstLine="0"/>
              <w:jc w:val="left"/>
              <w:rPr>
                <w:rFonts w:eastAsia="仿宋"/>
                <w:bCs/>
                <w:kern w:val="0"/>
                <w:sz w:val="24"/>
                <w:lang w:bidi="ar"/>
              </w:rPr>
            </w:pPr>
            <w:r>
              <w:rPr>
                <w:rFonts w:eastAsia="仿宋"/>
                <w:bCs/>
                <w:kern w:val="0"/>
                <w:sz w:val="24"/>
                <w:lang w:bidi="ar"/>
              </w:rPr>
              <w:t>凡符合下列情形之一的，为特别重大辐射事故：</w:t>
            </w:r>
          </w:p>
          <w:p w14:paraId="2EC3B83A">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（1）I、II类放射源丢失、被盗、失控并造成大范围严重辐射污染后果；</w:t>
            </w:r>
          </w:p>
          <w:p w14:paraId="5BE8D87C">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（2）放射性同位素和射线装置失控导致3人及以上急性死亡；</w:t>
            </w:r>
          </w:p>
          <w:p w14:paraId="31F5D8AD">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（3）放射性物质泄漏，造成大范围辐射污染后果；</w:t>
            </w:r>
          </w:p>
          <w:p w14:paraId="0E89A8E3">
            <w:pPr>
              <w:keepNext w:val="0"/>
              <w:keepLines w:val="0"/>
              <w:pageBreakBefore w:val="0"/>
              <w:widowControl/>
              <w:kinsoku/>
              <w:wordWrap/>
              <w:overflowPunct/>
              <w:topLinePunct w:val="0"/>
              <w:autoSpaceDE/>
              <w:autoSpaceDN/>
              <w:bidi w:val="0"/>
              <w:adjustRightInd/>
              <w:snapToGrid/>
              <w:ind w:firstLine="0"/>
              <w:jc w:val="left"/>
              <w:rPr>
                <w:rFonts w:eastAsia="仿宋"/>
                <w:b/>
                <w:sz w:val="24"/>
              </w:rPr>
            </w:pPr>
            <w:r>
              <w:rPr>
                <w:rStyle w:val="19"/>
                <w:rFonts w:ascii="Times New Roman" w:eastAsia="仿宋" w:cs="Times New Roman"/>
                <w:color w:val="auto"/>
                <w:sz w:val="24"/>
                <w:szCs w:val="24"/>
                <w:lang w:bidi="ar"/>
              </w:rPr>
              <w:t>（4）国内外航天器在我</w:t>
            </w:r>
            <w:r>
              <w:rPr>
                <w:rStyle w:val="19"/>
                <w:rFonts w:hint="eastAsia" w:eastAsia="仿宋" w:cs="Times New Roman"/>
                <w:color w:val="auto"/>
                <w:sz w:val="24"/>
                <w:szCs w:val="24"/>
                <w:lang w:val="en-US" w:eastAsia="zh-CN" w:bidi="ar"/>
              </w:rPr>
              <w:t>县</w:t>
            </w:r>
            <w:r>
              <w:rPr>
                <w:rStyle w:val="19"/>
                <w:rFonts w:ascii="Times New Roman" w:eastAsia="仿宋" w:cs="Times New Roman"/>
                <w:color w:val="auto"/>
                <w:sz w:val="24"/>
                <w:szCs w:val="24"/>
                <w:lang w:bidi="ar"/>
              </w:rPr>
              <w:t>行政</w:t>
            </w:r>
            <w:r>
              <w:rPr>
                <w:rStyle w:val="19"/>
                <w:rFonts w:hint="eastAsia" w:eastAsia="仿宋" w:cs="Times New Roman"/>
                <w:color w:val="auto"/>
                <w:sz w:val="24"/>
                <w:szCs w:val="24"/>
                <w:lang w:val="en-US" w:eastAsia="zh-CN" w:bidi="ar"/>
              </w:rPr>
              <w:t>区域</w:t>
            </w:r>
            <w:r>
              <w:rPr>
                <w:rStyle w:val="19"/>
                <w:rFonts w:ascii="Times New Roman" w:eastAsia="仿宋" w:cs="Times New Roman"/>
                <w:color w:val="auto"/>
                <w:sz w:val="24"/>
                <w:szCs w:val="24"/>
                <w:lang w:bidi="ar"/>
              </w:rPr>
              <w:t>内坠落造成的环境放射性污染事件，以及可能对我</w:t>
            </w:r>
            <w:r>
              <w:rPr>
                <w:rStyle w:val="19"/>
                <w:rFonts w:hint="eastAsia" w:eastAsia="仿宋" w:cs="Times New Roman"/>
                <w:color w:val="auto"/>
                <w:sz w:val="24"/>
                <w:szCs w:val="24"/>
                <w:lang w:val="en-US" w:eastAsia="zh-CN" w:bidi="ar"/>
              </w:rPr>
              <w:t>县</w:t>
            </w:r>
            <w:r>
              <w:rPr>
                <w:rStyle w:val="19"/>
                <w:rFonts w:ascii="Times New Roman" w:eastAsia="仿宋" w:cs="Times New Roman"/>
                <w:color w:val="auto"/>
                <w:sz w:val="24"/>
                <w:szCs w:val="24"/>
                <w:lang w:bidi="ar"/>
              </w:rPr>
              <w:t>环境造成辐射影响的市域外核与辐射事故、事件。</w:t>
            </w:r>
          </w:p>
        </w:tc>
        <w:tc>
          <w:tcPr>
            <w:tcW w:w="2984" w:type="dxa"/>
            <w:tcBorders>
              <w:tl2br w:val="nil"/>
              <w:tr2bl w:val="nil"/>
            </w:tcBorders>
            <w:tcMar>
              <w:top w:w="15" w:type="dxa"/>
              <w:left w:w="15" w:type="dxa"/>
              <w:right w:w="15" w:type="dxa"/>
            </w:tcMar>
          </w:tcPr>
          <w:p w14:paraId="7AF95C76">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凡符合下列情形之一的，为重大辐射事故：</w:t>
            </w:r>
          </w:p>
          <w:p w14:paraId="76F5EEC1">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（1）I、II类放射源丢失、被盗、失控；</w:t>
            </w:r>
          </w:p>
          <w:p w14:paraId="6E025B1E">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（2）放射性同位素和射线装置失控导致3人以下急性死亡或者10人及以上急性重度放射病、局部器官残疾；</w:t>
            </w:r>
          </w:p>
          <w:p w14:paraId="74F5CB8E">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（3）放射性物质泄漏，造成 </w:t>
            </w:r>
          </w:p>
          <w:p w14:paraId="4C44494E">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较大范围辐射污染后果。</w:t>
            </w:r>
          </w:p>
        </w:tc>
        <w:tc>
          <w:tcPr>
            <w:tcW w:w="2981" w:type="dxa"/>
            <w:tcBorders>
              <w:tl2br w:val="nil"/>
              <w:tr2bl w:val="nil"/>
            </w:tcBorders>
            <w:tcMar>
              <w:top w:w="15" w:type="dxa"/>
              <w:left w:w="15" w:type="dxa"/>
              <w:right w:w="15" w:type="dxa"/>
            </w:tcMar>
          </w:tcPr>
          <w:p w14:paraId="3299376B">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凡符合下列情形之一的，为较大辐射事故：</w:t>
            </w:r>
          </w:p>
          <w:p w14:paraId="6AFEC31A">
            <w:pPr>
              <w:keepNext w:val="0"/>
              <w:keepLines w:val="0"/>
              <w:pageBreakBefore w:val="0"/>
              <w:widowControl/>
              <w:numPr>
                <w:ilvl w:val="0"/>
                <w:numId w:val="1"/>
              </w:numPr>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III类放射源丢失、被盗、失控；</w:t>
            </w:r>
          </w:p>
          <w:p w14:paraId="06492553">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（2）放射性同位素和射线装置失控导致10人以下急性重度放射病、局部器官残疾； </w:t>
            </w:r>
          </w:p>
          <w:p w14:paraId="11592018">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（3）放射性物质泄漏，造成 </w:t>
            </w:r>
          </w:p>
          <w:p w14:paraId="62B7B0A8">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小范围辐射污染后果。</w:t>
            </w:r>
          </w:p>
        </w:tc>
        <w:tc>
          <w:tcPr>
            <w:tcW w:w="2982" w:type="dxa"/>
            <w:tcBorders>
              <w:tl2br w:val="nil"/>
              <w:tr2bl w:val="nil"/>
            </w:tcBorders>
            <w:tcMar>
              <w:top w:w="15" w:type="dxa"/>
              <w:left w:w="15" w:type="dxa"/>
              <w:right w:w="15" w:type="dxa"/>
            </w:tcMar>
          </w:tcPr>
          <w:p w14:paraId="41F2F212">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凡符合下列情形之一的，为一般辐射事故：</w:t>
            </w:r>
          </w:p>
          <w:p w14:paraId="67CB8E69">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（1）IV、V类放射源丢失、被盗、失控；</w:t>
            </w:r>
          </w:p>
          <w:p w14:paraId="6608E345">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（2）放射性同位素和射线装置失控导致人员受到超过年剂量限值的照射；</w:t>
            </w:r>
          </w:p>
          <w:p w14:paraId="32D2A014">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（3）放射性物质泄漏，造成局部辐射污染后果；</w:t>
            </w:r>
          </w:p>
          <w:p w14:paraId="4D4EE959">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（4）伴生放射性矿开发利用超标排放，造成环境辐射污染后果；</w:t>
            </w:r>
          </w:p>
          <w:p w14:paraId="6F478AA9">
            <w:pPr>
              <w:keepNext w:val="0"/>
              <w:keepLines w:val="0"/>
              <w:pageBreakBefore w:val="0"/>
              <w:widowControl/>
              <w:kinsoku/>
              <w:wordWrap/>
              <w:overflowPunct/>
              <w:topLinePunct w:val="0"/>
              <w:autoSpaceDE/>
              <w:autoSpaceDN/>
              <w:bidi w:val="0"/>
              <w:adjustRightInd/>
              <w:snapToGrid/>
              <w:ind w:firstLine="0"/>
              <w:jc w:val="left"/>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（5）测井用放射源落井，打捞不成功进行封井处理。</w:t>
            </w:r>
          </w:p>
        </w:tc>
      </w:tr>
      <w:tr w14:paraId="48D2F3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24" w:hRule="atLeast"/>
          <w:jc w:val="center"/>
        </w:trPr>
        <w:tc>
          <w:tcPr>
            <w:tcW w:w="1063" w:type="dxa"/>
            <w:tcBorders>
              <w:tl2br w:val="nil"/>
              <w:tr2bl w:val="nil"/>
            </w:tcBorders>
            <w:tcMar>
              <w:top w:w="15" w:type="dxa"/>
              <w:left w:w="15" w:type="dxa"/>
              <w:right w:w="15" w:type="dxa"/>
            </w:tcMar>
            <w:vAlign w:val="center"/>
          </w:tcPr>
          <w:p w14:paraId="23C18934">
            <w:pPr>
              <w:keepNext w:val="0"/>
              <w:keepLines w:val="0"/>
              <w:pageBreakBefore w:val="0"/>
              <w:widowControl/>
              <w:kinsoku/>
              <w:wordWrap/>
              <w:overflowPunct/>
              <w:topLinePunct w:val="0"/>
              <w:autoSpaceDE/>
              <w:autoSpaceDN/>
              <w:bidi w:val="0"/>
              <w:adjustRightInd/>
              <w:snapToGrid/>
              <w:ind w:firstLine="0"/>
              <w:jc w:val="center"/>
              <w:textAlignment w:val="center"/>
              <w:rPr>
                <w:rFonts w:eastAsia="仿宋"/>
                <w:b/>
                <w:sz w:val="24"/>
              </w:rPr>
            </w:pPr>
            <w:r>
              <w:rPr>
                <w:rFonts w:eastAsia="仿宋"/>
                <w:b/>
                <w:sz w:val="24"/>
              </w:rPr>
              <w:t>响应条件及应急措施</w:t>
            </w:r>
          </w:p>
        </w:tc>
        <w:tc>
          <w:tcPr>
            <w:tcW w:w="3339" w:type="dxa"/>
            <w:tcBorders>
              <w:tl2br w:val="nil"/>
              <w:tr2bl w:val="nil"/>
            </w:tcBorders>
            <w:tcMar>
              <w:top w:w="15" w:type="dxa"/>
              <w:left w:w="15" w:type="dxa"/>
              <w:right w:w="15" w:type="dxa"/>
            </w:tcMar>
            <w:vAlign w:val="center"/>
          </w:tcPr>
          <w:p w14:paraId="604AD7BD">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初判发生特别重大辐射事故，启动一级响应。</w:t>
            </w:r>
          </w:p>
          <w:p w14:paraId="56E613DE">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应急响应：详见4.3.4。</w:t>
            </w:r>
          </w:p>
          <w:p w14:paraId="4EC63FC9">
            <w:pPr>
              <w:keepNext w:val="0"/>
              <w:keepLines w:val="0"/>
              <w:pageBreakBefore w:val="0"/>
              <w:widowControl/>
              <w:kinsoku/>
              <w:wordWrap/>
              <w:overflowPunct/>
              <w:topLinePunct w:val="0"/>
              <w:autoSpaceDE/>
              <w:autoSpaceDN/>
              <w:bidi w:val="0"/>
              <w:adjustRightInd/>
              <w:snapToGrid/>
              <w:ind w:firstLine="0"/>
              <w:rPr>
                <w:rFonts w:eastAsia="仿宋"/>
                <w:b/>
                <w:kern w:val="0"/>
                <w:sz w:val="24"/>
                <w:lang w:bidi="ar"/>
              </w:rPr>
            </w:pPr>
            <w:r>
              <w:rPr>
                <w:rStyle w:val="19"/>
                <w:rFonts w:ascii="Times New Roman" w:eastAsia="仿宋" w:cs="Times New Roman"/>
                <w:color w:val="auto"/>
                <w:sz w:val="24"/>
                <w:szCs w:val="24"/>
                <w:lang w:bidi="ar"/>
              </w:rPr>
              <w:t>应急措施：详见4.4。</w:t>
            </w:r>
          </w:p>
        </w:tc>
        <w:tc>
          <w:tcPr>
            <w:tcW w:w="2984" w:type="dxa"/>
            <w:tcBorders>
              <w:tl2br w:val="nil"/>
              <w:tr2bl w:val="nil"/>
            </w:tcBorders>
            <w:tcMar>
              <w:top w:w="15" w:type="dxa"/>
              <w:left w:w="15" w:type="dxa"/>
              <w:right w:w="15" w:type="dxa"/>
            </w:tcMar>
            <w:vAlign w:val="center"/>
          </w:tcPr>
          <w:p w14:paraId="5FE10A75">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初判发生重大辐射事故时， </w:t>
            </w:r>
          </w:p>
          <w:p w14:paraId="6A3F53D2">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启动二级响应。</w:t>
            </w:r>
          </w:p>
          <w:p w14:paraId="25B9A156">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应急响应：详见4.3.3。</w:t>
            </w:r>
          </w:p>
          <w:p w14:paraId="744AE172">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应急措施：详见4.4。</w:t>
            </w:r>
          </w:p>
        </w:tc>
        <w:tc>
          <w:tcPr>
            <w:tcW w:w="2981" w:type="dxa"/>
            <w:tcBorders>
              <w:tl2br w:val="nil"/>
              <w:tr2bl w:val="nil"/>
            </w:tcBorders>
            <w:tcMar>
              <w:top w:w="15" w:type="dxa"/>
              <w:left w:w="15" w:type="dxa"/>
              <w:right w:w="15" w:type="dxa"/>
            </w:tcMar>
            <w:vAlign w:val="center"/>
          </w:tcPr>
          <w:p w14:paraId="312EB275">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 xml:space="preserve">初判发生较大辐射事故时， </w:t>
            </w:r>
          </w:p>
          <w:p w14:paraId="52650F06">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启动三级响应。</w:t>
            </w:r>
          </w:p>
          <w:p w14:paraId="0E493E3A">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应急响应：详见4.3.2。</w:t>
            </w:r>
          </w:p>
          <w:p w14:paraId="0F4BACF4">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应急措施：详见4.4。</w:t>
            </w:r>
          </w:p>
        </w:tc>
        <w:tc>
          <w:tcPr>
            <w:tcW w:w="2982" w:type="dxa"/>
            <w:tcBorders>
              <w:tl2br w:val="nil"/>
              <w:tr2bl w:val="nil"/>
            </w:tcBorders>
            <w:tcMar>
              <w:top w:w="15" w:type="dxa"/>
              <w:left w:w="15" w:type="dxa"/>
              <w:right w:w="15" w:type="dxa"/>
            </w:tcMar>
            <w:vAlign w:val="center"/>
          </w:tcPr>
          <w:p w14:paraId="2398C153">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初判发生一般辐射事故时，</w:t>
            </w:r>
          </w:p>
          <w:p w14:paraId="04BE6012">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启动四级响应。</w:t>
            </w:r>
          </w:p>
          <w:p w14:paraId="639A99A3">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应急响应：详见4.3.1。</w:t>
            </w:r>
          </w:p>
          <w:p w14:paraId="79F41CBA">
            <w:pPr>
              <w:keepNext w:val="0"/>
              <w:keepLines w:val="0"/>
              <w:pageBreakBefore w:val="0"/>
              <w:widowControl/>
              <w:kinsoku/>
              <w:wordWrap/>
              <w:overflowPunct/>
              <w:topLinePunct w:val="0"/>
              <w:autoSpaceDE/>
              <w:autoSpaceDN/>
              <w:bidi w:val="0"/>
              <w:adjustRightInd/>
              <w:snapToGrid/>
              <w:ind w:firstLine="0"/>
              <w:rPr>
                <w:rStyle w:val="19"/>
                <w:rFonts w:ascii="Times New Roman" w:eastAsia="仿宋" w:cs="Times New Roman"/>
                <w:color w:val="auto"/>
                <w:sz w:val="24"/>
                <w:szCs w:val="24"/>
                <w:lang w:bidi="ar"/>
              </w:rPr>
            </w:pPr>
            <w:r>
              <w:rPr>
                <w:rStyle w:val="19"/>
                <w:rFonts w:ascii="Times New Roman" w:eastAsia="仿宋" w:cs="Times New Roman"/>
                <w:color w:val="auto"/>
                <w:sz w:val="24"/>
                <w:szCs w:val="24"/>
                <w:lang w:bidi="ar"/>
              </w:rPr>
              <w:t>应急措施：详见4.4。</w:t>
            </w:r>
          </w:p>
        </w:tc>
      </w:tr>
    </w:tbl>
    <w:p w14:paraId="7AC332DA">
      <w:pPr>
        <w:ind w:firstLine="480"/>
        <w:rPr>
          <w:rFonts w:ascii="仿宋" w:hAnsi="仿宋" w:eastAsia="仿宋" w:cs="仿宋"/>
          <w:kern w:val="0"/>
          <w:sz w:val="24"/>
          <w:lang w:bidi="ar"/>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kern w:val="0"/>
          <w:sz w:val="24"/>
          <w:lang w:bidi="ar"/>
        </w:rPr>
        <w:t>注：上述有关数量的表述中，“以上”含本数，“以下”不含本数。</w:t>
      </w:r>
    </w:p>
    <w:p w14:paraId="6F55E906">
      <w:pPr>
        <w:pStyle w:val="2"/>
        <w:keepNext w:val="0"/>
        <w:keepLines w:val="0"/>
        <w:pageBreakBefore w:val="0"/>
        <w:widowControl w:val="0"/>
        <w:kinsoku/>
        <w:wordWrap/>
        <w:overflowPunct/>
        <w:topLinePunct w:val="0"/>
        <w:autoSpaceDE w:val="0"/>
        <w:autoSpaceDN w:val="0"/>
        <w:bidi w:val="0"/>
        <w:adjustRightInd/>
        <w:snapToGrid w:val="0"/>
        <w:spacing w:after="0" w:line="360" w:lineRule="auto"/>
        <w:ind w:firstLine="561"/>
        <w:jc w:val="left"/>
        <w:textAlignment w:val="auto"/>
        <w:outlineLvl w:val="9"/>
        <w:rPr>
          <w:b/>
          <w:bCs/>
          <w:sz w:val="28"/>
          <w:szCs w:val="28"/>
        </w:rPr>
      </w:pPr>
      <w:bookmarkStart w:id="107" w:name="_Toc31992"/>
      <w:bookmarkStart w:id="108" w:name="_Toc7834"/>
      <w:bookmarkStart w:id="109" w:name="_Toc13454"/>
      <w:bookmarkStart w:id="110" w:name="_Toc28242"/>
      <w:bookmarkStart w:id="111" w:name="_Toc3122"/>
      <w:bookmarkStart w:id="112" w:name="_Toc12411"/>
      <w:bookmarkStart w:id="113" w:name="_Toc15030"/>
      <w:r>
        <w:rPr>
          <w:b/>
          <w:bCs/>
          <w:sz w:val="28"/>
          <w:szCs w:val="28"/>
        </w:rPr>
        <w:t>附件4</w:t>
      </w:r>
      <w:bookmarkEnd w:id="107"/>
      <w:bookmarkEnd w:id="108"/>
      <w:bookmarkEnd w:id="109"/>
      <w:bookmarkEnd w:id="110"/>
      <w:bookmarkEnd w:id="111"/>
      <w:bookmarkEnd w:id="112"/>
      <w:bookmarkEnd w:id="113"/>
    </w:p>
    <w:p w14:paraId="0F4EE72C">
      <w:pPr>
        <w:pStyle w:val="2"/>
        <w:autoSpaceDE w:val="0"/>
        <w:autoSpaceDN w:val="0"/>
        <w:snapToGrid w:val="0"/>
        <w:spacing w:after="0" w:line="360" w:lineRule="auto"/>
        <w:ind w:firstLine="883"/>
        <w:jc w:val="center"/>
        <w:rPr>
          <w:b/>
          <w:bCs/>
          <w:sz w:val="44"/>
          <w:szCs w:val="44"/>
        </w:rPr>
      </w:pPr>
      <w:r>
        <w:rPr>
          <w:b/>
          <w:bCs/>
          <w:sz w:val="44"/>
          <w:szCs w:val="44"/>
        </w:rPr>
        <w:t>辐射事故初始报告表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999"/>
        <w:gridCol w:w="1130"/>
        <w:gridCol w:w="78"/>
        <w:gridCol w:w="1203"/>
        <w:gridCol w:w="353"/>
        <w:gridCol w:w="358"/>
        <w:gridCol w:w="378"/>
        <w:gridCol w:w="346"/>
        <w:gridCol w:w="169"/>
        <w:gridCol w:w="445"/>
        <w:gridCol w:w="121"/>
        <w:gridCol w:w="344"/>
        <w:gridCol w:w="786"/>
        <w:gridCol w:w="15"/>
        <w:gridCol w:w="1155"/>
      </w:tblGrid>
      <w:tr w14:paraId="5964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1" w:type="pct"/>
            <w:gridSpan w:val="2"/>
            <w:vAlign w:val="center"/>
          </w:tcPr>
          <w:p w14:paraId="5F815B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事故单位</w:t>
            </w:r>
          </w:p>
          <w:p w14:paraId="24B59D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名    称</w:t>
            </w:r>
          </w:p>
        </w:tc>
        <w:tc>
          <w:tcPr>
            <w:tcW w:w="4038" w:type="pct"/>
            <w:gridSpan w:val="14"/>
            <w:vAlign w:val="center"/>
          </w:tcPr>
          <w:p w14:paraId="5E58C4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（公章）</w:t>
            </w:r>
          </w:p>
        </w:tc>
      </w:tr>
      <w:tr w14:paraId="3043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1" w:type="pct"/>
            <w:gridSpan w:val="2"/>
            <w:vAlign w:val="center"/>
          </w:tcPr>
          <w:p w14:paraId="14B4C1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法定代表人</w:t>
            </w:r>
          </w:p>
        </w:tc>
        <w:tc>
          <w:tcPr>
            <w:tcW w:w="663" w:type="pct"/>
            <w:vAlign w:val="center"/>
          </w:tcPr>
          <w:p w14:paraId="2AF5F6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51" w:type="pct"/>
            <w:gridSpan w:val="2"/>
            <w:vAlign w:val="center"/>
          </w:tcPr>
          <w:p w14:paraId="367C510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地址</w:t>
            </w:r>
          </w:p>
        </w:tc>
        <w:tc>
          <w:tcPr>
            <w:tcW w:w="1273" w:type="pct"/>
            <w:gridSpan w:val="7"/>
            <w:vAlign w:val="center"/>
          </w:tcPr>
          <w:p w14:paraId="599A3E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63" w:type="pct"/>
            <w:gridSpan w:val="2"/>
            <w:vAlign w:val="center"/>
          </w:tcPr>
          <w:p w14:paraId="340FA8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邮编</w:t>
            </w:r>
          </w:p>
        </w:tc>
        <w:tc>
          <w:tcPr>
            <w:tcW w:w="686" w:type="pct"/>
            <w:gridSpan w:val="2"/>
            <w:vAlign w:val="center"/>
          </w:tcPr>
          <w:p w14:paraId="11F259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31A7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1" w:type="pct"/>
            <w:gridSpan w:val="2"/>
            <w:vAlign w:val="center"/>
          </w:tcPr>
          <w:p w14:paraId="4B3D68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电话</w:t>
            </w:r>
          </w:p>
        </w:tc>
        <w:tc>
          <w:tcPr>
            <w:tcW w:w="1415" w:type="pct"/>
            <w:gridSpan w:val="3"/>
            <w:vAlign w:val="center"/>
          </w:tcPr>
          <w:p w14:paraId="594453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417" w:type="pct"/>
            <w:gridSpan w:val="2"/>
            <w:vAlign w:val="center"/>
          </w:tcPr>
          <w:p w14:paraId="02BABF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传真</w:t>
            </w:r>
          </w:p>
        </w:tc>
        <w:tc>
          <w:tcPr>
            <w:tcW w:w="856" w:type="pct"/>
            <w:gridSpan w:val="5"/>
            <w:vAlign w:val="center"/>
          </w:tcPr>
          <w:p w14:paraId="2363D0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63" w:type="pct"/>
            <w:gridSpan w:val="2"/>
            <w:vAlign w:val="center"/>
          </w:tcPr>
          <w:p w14:paraId="02CA88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联系人</w:t>
            </w:r>
          </w:p>
        </w:tc>
        <w:tc>
          <w:tcPr>
            <w:tcW w:w="686" w:type="pct"/>
            <w:gridSpan w:val="2"/>
            <w:vAlign w:val="center"/>
          </w:tcPr>
          <w:p w14:paraId="34C963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41BB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1" w:type="pct"/>
            <w:gridSpan w:val="2"/>
            <w:vAlign w:val="center"/>
          </w:tcPr>
          <w:p w14:paraId="6E34FC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许可证号</w:t>
            </w:r>
          </w:p>
        </w:tc>
        <w:tc>
          <w:tcPr>
            <w:tcW w:w="1415" w:type="pct"/>
            <w:gridSpan w:val="3"/>
            <w:vAlign w:val="center"/>
          </w:tcPr>
          <w:p w14:paraId="1EF058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941" w:type="pct"/>
            <w:gridSpan w:val="5"/>
            <w:vAlign w:val="center"/>
          </w:tcPr>
          <w:p w14:paraId="657074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许可证审批机关</w:t>
            </w:r>
          </w:p>
        </w:tc>
        <w:tc>
          <w:tcPr>
            <w:tcW w:w="1681" w:type="pct"/>
            <w:gridSpan w:val="6"/>
            <w:vAlign w:val="center"/>
          </w:tcPr>
          <w:p w14:paraId="23EF52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7F30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1" w:type="pct"/>
            <w:gridSpan w:val="2"/>
            <w:vAlign w:val="center"/>
          </w:tcPr>
          <w:p w14:paraId="784DDD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    故</w:t>
            </w:r>
          </w:p>
          <w:p w14:paraId="2FE926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发生时间</w:t>
            </w:r>
          </w:p>
        </w:tc>
        <w:tc>
          <w:tcPr>
            <w:tcW w:w="1415" w:type="pct"/>
            <w:gridSpan w:val="3"/>
            <w:vAlign w:val="center"/>
          </w:tcPr>
          <w:p w14:paraId="27EA9F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941" w:type="pct"/>
            <w:gridSpan w:val="5"/>
            <w:vAlign w:val="center"/>
          </w:tcPr>
          <w:p w14:paraId="5D5069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事故发生地点</w:t>
            </w:r>
          </w:p>
        </w:tc>
        <w:tc>
          <w:tcPr>
            <w:tcW w:w="1681" w:type="pct"/>
            <w:gridSpan w:val="6"/>
            <w:vAlign w:val="center"/>
          </w:tcPr>
          <w:p w14:paraId="1A298C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04B4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pct"/>
            <w:gridSpan w:val="2"/>
            <w:vMerge w:val="restart"/>
            <w:vAlign w:val="center"/>
          </w:tcPr>
          <w:p w14:paraId="31D1D3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事故类型</w:t>
            </w:r>
          </w:p>
        </w:tc>
        <w:tc>
          <w:tcPr>
            <w:tcW w:w="1415" w:type="pct"/>
            <w:gridSpan w:val="3"/>
            <w:vAlign w:val="center"/>
          </w:tcPr>
          <w:p w14:paraId="506620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sym w:font="Wingdings 2" w:char="00A3"/>
            </w:r>
            <w:r>
              <w:rPr>
                <w:rFonts w:eastAsia="仿宋"/>
              </w:rPr>
              <w:t xml:space="preserve">人员受照  </w:t>
            </w:r>
            <w:r>
              <w:rPr>
                <w:rFonts w:eastAsia="仿宋"/>
              </w:rPr>
              <w:sym w:font="Wingdings 2" w:char="00A3"/>
            </w:r>
            <w:r>
              <w:rPr>
                <w:rFonts w:eastAsia="仿宋"/>
              </w:rPr>
              <w:t>人员污染</w:t>
            </w:r>
          </w:p>
        </w:tc>
        <w:tc>
          <w:tcPr>
            <w:tcW w:w="639" w:type="pct"/>
            <w:gridSpan w:val="3"/>
            <w:vAlign w:val="center"/>
          </w:tcPr>
          <w:p w14:paraId="200445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受照人数</w:t>
            </w:r>
          </w:p>
        </w:tc>
        <w:tc>
          <w:tcPr>
            <w:tcW w:w="563" w:type="pct"/>
            <w:gridSpan w:val="3"/>
            <w:vAlign w:val="center"/>
          </w:tcPr>
          <w:p w14:paraId="1599BE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43" w:type="pct"/>
            <w:gridSpan w:val="4"/>
            <w:vAlign w:val="center"/>
          </w:tcPr>
          <w:p w14:paraId="019780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受污染人数</w:t>
            </w:r>
          </w:p>
        </w:tc>
        <w:tc>
          <w:tcPr>
            <w:tcW w:w="677" w:type="pct"/>
            <w:vAlign w:val="center"/>
          </w:tcPr>
          <w:p w14:paraId="0EE84B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34C5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pct"/>
            <w:gridSpan w:val="2"/>
            <w:vMerge w:val="continue"/>
            <w:vAlign w:val="center"/>
          </w:tcPr>
          <w:p w14:paraId="0C3F75B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415" w:type="pct"/>
            <w:gridSpan w:val="3"/>
            <w:vAlign w:val="center"/>
          </w:tcPr>
          <w:p w14:paraId="317734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sym w:font="Wingdings 2" w:char="00A3"/>
            </w:r>
            <w:r>
              <w:rPr>
                <w:rFonts w:eastAsia="仿宋"/>
              </w:rPr>
              <w:t xml:space="preserve">丢失 </w:t>
            </w:r>
            <w:r>
              <w:rPr>
                <w:rFonts w:eastAsia="仿宋"/>
              </w:rPr>
              <w:sym w:font="Wingdings 2" w:char="00A3"/>
            </w:r>
            <w:r>
              <w:rPr>
                <w:rFonts w:eastAsia="仿宋"/>
              </w:rPr>
              <w:t xml:space="preserve">被盗 </w:t>
            </w:r>
            <w:r>
              <w:rPr>
                <w:rFonts w:eastAsia="仿宋"/>
              </w:rPr>
              <w:sym w:font="Wingdings 2" w:char="00A3"/>
            </w:r>
            <w:r>
              <w:rPr>
                <w:rFonts w:eastAsia="仿宋"/>
              </w:rPr>
              <w:t>失控</w:t>
            </w:r>
          </w:p>
        </w:tc>
        <w:tc>
          <w:tcPr>
            <w:tcW w:w="1202" w:type="pct"/>
            <w:gridSpan w:val="6"/>
            <w:vAlign w:val="center"/>
          </w:tcPr>
          <w:p w14:paraId="76B4ED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事故源数量</w:t>
            </w:r>
          </w:p>
        </w:tc>
        <w:tc>
          <w:tcPr>
            <w:tcW w:w="1420" w:type="pct"/>
            <w:gridSpan w:val="5"/>
            <w:vAlign w:val="center"/>
          </w:tcPr>
          <w:p w14:paraId="72E652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0AA9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pct"/>
            <w:gridSpan w:val="2"/>
            <w:vMerge w:val="continue"/>
            <w:vAlign w:val="center"/>
          </w:tcPr>
          <w:p w14:paraId="07387A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415" w:type="pct"/>
            <w:gridSpan w:val="3"/>
            <w:vAlign w:val="center"/>
          </w:tcPr>
          <w:p w14:paraId="3D727F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sym w:font="Wingdings 2" w:char="00A3"/>
            </w:r>
            <w:r>
              <w:rPr>
                <w:rFonts w:eastAsia="仿宋"/>
              </w:rPr>
              <w:t>放射性污染</w:t>
            </w:r>
          </w:p>
        </w:tc>
        <w:tc>
          <w:tcPr>
            <w:tcW w:w="1202" w:type="pct"/>
            <w:gridSpan w:val="6"/>
            <w:vAlign w:val="center"/>
          </w:tcPr>
          <w:p w14:paraId="0A75DF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污染面积（m</w:t>
            </w:r>
            <w:r>
              <w:rPr>
                <w:rFonts w:eastAsia="仿宋"/>
                <w:vertAlign w:val="superscript"/>
              </w:rPr>
              <w:t>2</w:t>
            </w:r>
            <w:r>
              <w:rPr>
                <w:rFonts w:eastAsia="仿宋"/>
              </w:rPr>
              <w:t>）</w:t>
            </w:r>
          </w:p>
        </w:tc>
        <w:tc>
          <w:tcPr>
            <w:tcW w:w="1420" w:type="pct"/>
            <w:gridSpan w:val="5"/>
            <w:vAlign w:val="center"/>
          </w:tcPr>
          <w:p w14:paraId="49D1F0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6B95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3A5427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序号</w:t>
            </w:r>
          </w:p>
        </w:tc>
        <w:tc>
          <w:tcPr>
            <w:tcW w:w="586" w:type="pct"/>
            <w:vAlign w:val="center"/>
          </w:tcPr>
          <w:p w14:paraId="6D63AC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事故源核素名称</w:t>
            </w:r>
          </w:p>
        </w:tc>
        <w:tc>
          <w:tcPr>
            <w:tcW w:w="709" w:type="pct"/>
            <w:gridSpan w:val="2"/>
            <w:vAlign w:val="center"/>
          </w:tcPr>
          <w:p w14:paraId="72AC795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出厂</w:t>
            </w:r>
          </w:p>
          <w:p w14:paraId="3E4827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活度（Bq）</w:t>
            </w:r>
          </w:p>
        </w:tc>
        <w:tc>
          <w:tcPr>
            <w:tcW w:w="706" w:type="pct"/>
            <w:vAlign w:val="center"/>
          </w:tcPr>
          <w:p w14:paraId="39F17E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出厂日期</w:t>
            </w:r>
          </w:p>
        </w:tc>
        <w:tc>
          <w:tcPr>
            <w:tcW w:w="842" w:type="pct"/>
            <w:gridSpan w:val="4"/>
            <w:vAlign w:val="center"/>
          </w:tcPr>
          <w:p w14:paraId="238324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放射源编码</w:t>
            </w:r>
          </w:p>
        </w:tc>
        <w:tc>
          <w:tcPr>
            <w:tcW w:w="633" w:type="pct"/>
            <w:gridSpan w:val="4"/>
            <w:vAlign w:val="center"/>
          </w:tcPr>
          <w:p w14:paraId="165435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事故时活度（Bq）</w:t>
            </w:r>
          </w:p>
        </w:tc>
        <w:tc>
          <w:tcPr>
            <w:tcW w:w="1147" w:type="pct"/>
            <w:gridSpan w:val="3"/>
            <w:vAlign w:val="center"/>
          </w:tcPr>
          <w:p w14:paraId="66E3A5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非密封放射性物质状态（固/液态）</w:t>
            </w:r>
          </w:p>
        </w:tc>
      </w:tr>
      <w:tr w14:paraId="44F9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398711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586" w:type="pct"/>
            <w:vAlign w:val="center"/>
          </w:tcPr>
          <w:p w14:paraId="501FEB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9" w:type="pct"/>
            <w:gridSpan w:val="2"/>
            <w:vAlign w:val="center"/>
          </w:tcPr>
          <w:p w14:paraId="7D0BD5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6" w:type="pct"/>
            <w:vAlign w:val="center"/>
          </w:tcPr>
          <w:p w14:paraId="48D8D9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842" w:type="pct"/>
            <w:gridSpan w:val="4"/>
            <w:vAlign w:val="center"/>
          </w:tcPr>
          <w:p w14:paraId="1FE01E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33" w:type="pct"/>
            <w:gridSpan w:val="4"/>
            <w:vAlign w:val="center"/>
          </w:tcPr>
          <w:p w14:paraId="56745B1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147" w:type="pct"/>
            <w:gridSpan w:val="3"/>
            <w:vAlign w:val="center"/>
          </w:tcPr>
          <w:p w14:paraId="344A59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1A59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221940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586" w:type="pct"/>
            <w:vAlign w:val="center"/>
          </w:tcPr>
          <w:p w14:paraId="0B7C197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9" w:type="pct"/>
            <w:gridSpan w:val="2"/>
            <w:vAlign w:val="center"/>
          </w:tcPr>
          <w:p w14:paraId="0D2E92F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6" w:type="pct"/>
            <w:vAlign w:val="center"/>
          </w:tcPr>
          <w:p w14:paraId="636AEF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842" w:type="pct"/>
            <w:gridSpan w:val="4"/>
            <w:vAlign w:val="center"/>
          </w:tcPr>
          <w:p w14:paraId="3B5689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33" w:type="pct"/>
            <w:gridSpan w:val="4"/>
            <w:vAlign w:val="center"/>
          </w:tcPr>
          <w:p w14:paraId="7BDBB3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147" w:type="pct"/>
            <w:gridSpan w:val="3"/>
            <w:vAlign w:val="center"/>
          </w:tcPr>
          <w:p w14:paraId="1EF9154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20A4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33CD80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序号</w:t>
            </w:r>
          </w:p>
        </w:tc>
        <w:tc>
          <w:tcPr>
            <w:tcW w:w="586" w:type="pct"/>
            <w:vAlign w:val="center"/>
          </w:tcPr>
          <w:p w14:paraId="4F0CBE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射线装置名称</w:t>
            </w:r>
          </w:p>
        </w:tc>
        <w:tc>
          <w:tcPr>
            <w:tcW w:w="709" w:type="pct"/>
            <w:gridSpan w:val="2"/>
            <w:vAlign w:val="center"/>
          </w:tcPr>
          <w:p w14:paraId="20577C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型号</w:t>
            </w:r>
          </w:p>
        </w:tc>
        <w:tc>
          <w:tcPr>
            <w:tcW w:w="706" w:type="pct"/>
            <w:vAlign w:val="center"/>
          </w:tcPr>
          <w:p w14:paraId="125D5E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生产厂家</w:t>
            </w:r>
          </w:p>
        </w:tc>
        <w:tc>
          <w:tcPr>
            <w:tcW w:w="842" w:type="pct"/>
            <w:gridSpan w:val="4"/>
            <w:vAlign w:val="center"/>
          </w:tcPr>
          <w:p w14:paraId="1D4A45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设备编号</w:t>
            </w:r>
          </w:p>
        </w:tc>
        <w:tc>
          <w:tcPr>
            <w:tcW w:w="633" w:type="pct"/>
            <w:gridSpan w:val="4"/>
            <w:vAlign w:val="center"/>
          </w:tcPr>
          <w:p w14:paraId="37E4FE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所在场所</w:t>
            </w:r>
          </w:p>
        </w:tc>
        <w:tc>
          <w:tcPr>
            <w:tcW w:w="1147" w:type="pct"/>
            <w:gridSpan w:val="3"/>
            <w:vAlign w:val="center"/>
          </w:tcPr>
          <w:p w14:paraId="6A2F8B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主要参数</w:t>
            </w:r>
          </w:p>
        </w:tc>
      </w:tr>
      <w:tr w14:paraId="2AE9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59D592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586" w:type="pct"/>
            <w:vAlign w:val="center"/>
          </w:tcPr>
          <w:p w14:paraId="7016C7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9" w:type="pct"/>
            <w:gridSpan w:val="2"/>
            <w:vAlign w:val="center"/>
          </w:tcPr>
          <w:p w14:paraId="1AC025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6" w:type="pct"/>
            <w:vAlign w:val="center"/>
          </w:tcPr>
          <w:p w14:paraId="0479B4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842" w:type="pct"/>
            <w:gridSpan w:val="4"/>
            <w:vAlign w:val="center"/>
          </w:tcPr>
          <w:p w14:paraId="15626B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33" w:type="pct"/>
            <w:gridSpan w:val="4"/>
            <w:vAlign w:val="center"/>
          </w:tcPr>
          <w:p w14:paraId="7CA424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147" w:type="pct"/>
            <w:gridSpan w:val="3"/>
            <w:vAlign w:val="center"/>
          </w:tcPr>
          <w:p w14:paraId="418C56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0AAB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5" w:type="pct"/>
            <w:vAlign w:val="center"/>
          </w:tcPr>
          <w:p w14:paraId="1EBDA6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586" w:type="pct"/>
            <w:vAlign w:val="center"/>
          </w:tcPr>
          <w:p w14:paraId="5216CE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9" w:type="pct"/>
            <w:gridSpan w:val="2"/>
            <w:vAlign w:val="center"/>
          </w:tcPr>
          <w:p w14:paraId="76A8618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706" w:type="pct"/>
            <w:vAlign w:val="center"/>
          </w:tcPr>
          <w:p w14:paraId="511391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842" w:type="pct"/>
            <w:gridSpan w:val="4"/>
            <w:vAlign w:val="center"/>
          </w:tcPr>
          <w:p w14:paraId="46320C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633" w:type="pct"/>
            <w:gridSpan w:val="4"/>
            <w:vAlign w:val="center"/>
          </w:tcPr>
          <w:p w14:paraId="15093B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1147" w:type="pct"/>
            <w:gridSpan w:val="3"/>
            <w:vAlign w:val="center"/>
          </w:tcPr>
          <w:p w14:paraId="739ECE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6E85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961" w:type="pct"/>
            <w:gridSpan w:val="2"/>
            <w:vAlign w:val="center"/>
          </w:tcPr>
          <w:p w14:paraId="3742BB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事故经过</w:t>
            </w:r>
          </w:p>
          <w:p w14:paraId="2F492C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情况</w:t>
            </w:r>
          </w:p>
        </w:tc>
        <w:tc>
          <w:tcPr>
            <w:tcW w:w="4038" w:type="pct"/>
            <w:gridSpan w:val="14"/>
            <w:vAlign w:val="center"/>
          </w:tcPr>
          <w:p w14:paraId="117DED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p w14:paraId="352DB2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p w14:paraId="712572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r>
      <w:tr w14:paraId="05A9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pct"/>
            <w:gridSpan w:val="2"/>
            <w:vAlign w:val="center"/>
          </w:tcPr>
          <w:p w14:paraId="17D36F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报告人签字</w:t>
            </w:r>
          </w:p>
        </w:tc>
        <w:tc>
          <w:tcPr>
            <w:tcW w:w="709" w:type="pct"/>
            <w:gridSpan w:val="2"/>
            <w:vAlign w:val="center"/>
          </w:tcPr>
          <w:p w14:paraId="52B129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p>
        </w:tc>
        <w:tc>
          <w:tcPr>
            <w:tcW w:w="913" w:type="pct"/>
            <w:gridSpan w:val="2"/>
            <w:vAlign w:val="center"/>
          </w:tcPr>
          <w:p w14:paraId="7D1761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报告时间</w:t>
            </w:r>
          </w:p>
        </w:tc>
        <w:tc>
          <w:tcPr>
            <w:tcW w:w="2415" w:type="pct"/>
            <w:gridSpan w:val="10"/>
            <w:vAlign w:val="center"/>
          </w:tcPr>
          <w:p w14:paraId="0C3DD0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仿宋"/>
              </w:rPr>
            </w:pPr>
            <w:r>
              <w:rPr>
                <w:rFonts w:eastAsia="仿宋"/>
              </w:rPr>
              <w:t>年   月   日   时   分</w:t>
            </w:r>
          </w:p>
        </w:tc>
      </w:tr>
    </w:tbl>
    <w:p w14:paraId="1BC0DFF1">
      <w:pPr>
        <w:pStyle w:val="7"/>
        <w:ind w:firstLine="414"/>
        <w:rPr>
          <w:rFonts w:ascii="Times New Roman" w:hAnsi="Times New Roman" w:eastAsia="仿宋" w:cs="Times New Roman"/>
          <w:b/>
          <w:bCs/>
          <w:color w:val="auto"/>
          <w:spacing w:val="-1"/>
          <w:w w:val="99"/>
          <w:sz w:val="21"/>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b/>
          <w:bCs/>
          <w:color w:val="auto"/>
          <w:spacing w:val="-1"/>
          <w:w w:val="99"/>
          <w:sz w:val="21"/>
        </w:rPr>
        <w:t>注：射线装置的“主要参数”是指 X 射线机的电流（mA）和电压（kV）、加速器线束能量等主要性能参数。</w:t>
      </w:r>
    </w:p>
    <w:p w14:paraId="009AB9FF">
      <w:pPr>
        <w:pStyle w:val="8"/>
        <w:keepNext w:val="0"/>
        <w:keepLines w:val="0"/>
        <w:pageBreakBefore w:val="0"/>
        <w:widowControl w:val="0"/>
        <w:kinsoku/>
        <w:wordWrap/>
        <w:overflowPunct/>
        <w:topLinePunct w:val="0"/>
        <w:autoSpaceDE/>
        <w:autoSpaceDN/>
        <w:bidi w:val="0"/>
        <w:adjustRightInd/>
        <w:snapToGrid/>
        <w:ind w:firstLine="0" w:firstLineChars="0"/>
        <w:textAlignment w:val="auto"/>
        <w:outlineLvl w:val="9"/>
        <w:rPr>
          <w:b/>
          <w:bCs/>
          <w:sz w:val="28"/>
          <w:szCs w:val="28"/>
        </w:rPr>
      </w:pPr>
      <w:bookmarkStart w:id="114" w:name="_Toc29976"/>
      <w:bookmarkStart w:id="115" w:name="_Toc11260"/>
      <w:bookmarkStart w:id="116" w:name="_Toc30405"/>
      <w:bookmarkStart w:id="117" w:name="_Toc16895"/>
      <w:bookmarkStart w:id="118" w:name="_Toc3515"/>
      <w:bookmarkStart w:id="119" w:name="_Toc21908"/>
      <w:bookmarkStart w:id="120" w:name="_Toc3478"/>
      <w:r>
        <w:rPr>
          <w:b/>
          <w:bCs/>
          <w:sz w:val="28"/>
          <w:szCs w:val="28"/>
        </w:rPr>
        <w:t>附件5</w:t>
      </w:r>
      <w:bookmarkEnd w:id="114"/>
      <w:bookmarkEnd w:id="115"/>
      <w:bookmarkEnd w:id="116"/>
      <w:bookmarkEnd w:id="117"/>
      <w:bookmarkEnd w:id="118"/>
      <w:bookmarkEnd w:id="119"/>
      <w:bookmarkEnd w:id="120"/>
    </w:p>
    <w:p w14:paraId="20EF4556">
      <w:pPr>
        <w:pStyle w:val="8"/>
        <w:ind w:firstLine="0" w:firstLineChars="0"/>
        <w:jc w:val="center"/>
        <w:rPr>
          <w:b/>
          <w:bCs/>
          <w:sz w:val="44"/>
          <w:szCs w:val="44"/>
        </w:rPr>
      </w:pPr>
      <w:r>
        <w:rPr>
          <w:b/>
          <w:bCs/>
          <w:sz w:val="44"/>
          <w:szCs w:val="44"/>
        </w:rPr>
        <w:t>辐射事故后续报告表</w:t>
      </w:r>
    </w:p>
    <w:tbl>
      <w:tblPr>
        <w:tblStyle w:val="9"/>
        <w:tblW w:w="4998"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28" w:type="dxa"/>
          <w:bottom w:w="0" w:type="dxa"/>
          <w:right w:w="28" w:type="dxa"/>
        </w:tblCellMar>
      </w:tblPr>
      <w:tblGrid>
        <w:gridCol w:w="511"/>
        <w:gridCol w:w="1066"/>
        <w:gridCol w:w="1192"/>
        <w:gridCol w:w="1074"/>
        <w:gridCol w:w="348"/>
        <w:gridCol w:w="995"/>
        <w:gridCol w:w="261"/>
        <w:gridCol w:w="261"/>
        <w:gridCol w:w="326"/>
        <w:gridCol w:w="440"/>
        <w:gridCol w:w="699"/>
        <w:gridCol w:w="1186"/>
      </w:tblGrid>
      <w:tr w14:paraId="062D15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4BA752C8">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事故单位名称</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7AC0BA71">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907" w:type="pct"/>
            <w:gridSpan w:val="3"/>
            <w:tcBorders>
              <w:top w:val="single" w:color="auto" w:sz="4" w:space="0"/>
              <w:left w:val="single" w:color="auto" w:sz="4" w:space="0"/>
              <w:bottom w:val="single" w:color="auto" w:sz="4" w:space="0"/>
              <w:right w:val="single" w:color="auto" w:sz="4" w:space="0"/>
            </w:tcBorders>
            <w:vAlign w:val="center"/>
          </w:tcPr>
          <w:p w14:paraId="1711F9F8">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地  址</w:t>
            </w:r>
          </w:p>
        </w:tc>
        <w:tc>
          <w:tcPr>
            <w:tcW w:w="1584" w:type="pct"/>
            <w:gridSpan w:val="4"/>
            <w:tcBorders>
              <w:top w:val="single" w:color="auto" w:sz="4" w:space="0"/>
              <w:left w:val="single" w:color="auto" w:sz="4" w:space="0"/>
              <w:bottom w:val="single" w:color="auto" w:sz="4" w:space="0"/>
              <w:right w:val="single" w:color="auto" w:sz="8" w:space="0"/>
            </w:tcBorders>
            <w:vAlign w:val="center"/>
          </w:tcPr>
          <w:p w14:paraId="5A0F724B">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29F9C1C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674D2BC4">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许可证号</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585C401C">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907" w:type="pct"/>
            <w:gridSpan w:val="3"/>
            <w:tcBorders>
              <w:top w:val="single" w:color="auto" w:sz="4" w:space="0"/>
              <w:left w:val="single" w:color="auto" w:sz="4" w:space="0"/>
              <w:bottom w:val="single" w:color="auto" w:sz="4" w:space="0"/>
              <w:right w:val="single" w:color="auto" w:sz="4" w:space="0"/>
            </w:tcBorders>
            <w:vAlign w:val="center"/>
          </w:tcPr>
          <w:p w14:paraId="3193E463">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pacing w:val="-6"/>
                <w:szCs w:val="21"/>
              </w:rPr>
              <w:t>许可证审批机关</w:t>
            </w:r>
          </w:p>
        </w:tc>
        <w:tc>
          <w:tcPr>
            <w:tcW w:w="1584" w:type="pct"/>
            <w:gridSpan w:val="4"/>
            <w:tcBorders>
              <w:top w:val="single" w:color="auto" w:sz="4" w:space="0"/>
              <w:left w:val="single" w:color="auto" w:sz="4" w:space="0"/>
              <w:bottom w:val="single" w:color="auto" w:sz="4" w:space="0"/>
              <w:right w:val="single" w:color="auto" w:sz="8" w:space="0"/>
            </w:tcBorders>
            <w:vAlign w:val="center"/>
          </w:tcPr>
          <w:p w14:paraId="3441750E">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5698C52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0EE2CD10">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事故发生时间</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3A9F301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907" w:type="pct"/>
            <w:gridSpan w:val="3"/>
            <w:tcBorders>
              <w:top w:val="single" w:color="auto" w:sz="4" w:space="0"/>
              <w:left w:val="single" w:color="auto" w:sz="4" w:space="0"/>
              <w:bottom w:val="single" w:color="auto" w:sz="4" w:space="0"/>
              <w:right w:val="single" w:color="auto" w:sz="4" w:space="0"/>
            </w:tcBorders>
            <w:vAlign w:val="center"/>
          </w:tcPr>
          <w:p w14:paraId="6F659B5D">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事故报告时间</w:t>
            </w:r>
          </w:p>
        </w:tc>
        <w:tc>
          <w:tcPr>
            <w:tcW w:w="1584" w:type="pct"/>
            <w:gridSpan w:val="4"/>
            <w:tcBorders>
              <w:top w:val="single" w:color="auto" w:sz="4" w:space="0"/>
              <w:left w:val="single" w:color="auto" w:sz="4" w:space="0"/>
              <w:bottom w:val="single" w:color="auto" w:sz="4" w:space="0"/>
              <w:right w:val="single" w:color="auto" w:sz="8" w:space="0"/>
            </w:tcBorders>
            <w:vAlign w:val="center"/>
          </w:tcPr>
          <w:p w14:paraId="4A723E10">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1B98970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4813EBB5">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事故发生地点</w:t>
            </w:r>
          </w:p>
        </w:tc>
        <w:tc>
          <w:tcPr>
            <w:tcW w:w="4055" w:type="pct"/>
            <w:gridSpan w:val="10"/>
            <w:tcBorders>
              <w:top w:val="single" w:color="auto" w:sz="4" w:space="0"/>
              <w:left w:val="single" w:color="auto" w:sz="4" w:space="0"/>
              <w:bottom w:val="single" w:color="auto" w:sz="4" w:space="0"/>
              <w:right w:val="single" w:color="auto" w:sz="8" w:space="0"/>
            </w:tcBorders>
            <w:vAlign w:val="center"/>
          </w:tcPr>
          <w:p w14:paraId="4B90BE5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7F9FF1F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restart"/>
            <w:tcBorders>
              <w:top w:val="single" w:color="auto" w:sz="4" w:space="0"/>
              <w:left w:val="single" w:color="auto" w:sz="8" w:space="0"/>
              <w:bottom w:val="single" w:color="auto" w:sz="4" w:space="0"/>
              <w:right w:val="single" w:color="auto" w:sz="4" w:space="0"/>
            </w:tcBorders>
            <w:vAlign w:val="center"/>
          </w:tcPr>
          <w:p w14:paraId="6219B63F">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事故类型</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12F64A65">
            <w:pPr>
              <w:keepNext w:val="0"/>
              <w:keepLines w:val="0"/>
              <w:pageBreakBefore w:val="0"/>
              <w:kinsoku/>
              <w:wordWrap/>
              <w:overflowPunct/>
              <w:topLinePunct w:val="0"/>
              <w:autoSpaceDE/>
              <w:autoSpaceDN/>
              <w:bidi w:val="0"/>
              <w:adjustRightInd/>
              <w:ind w:firstLine="0"/>
              <w:textAlignment w:val="auto"/>
              <w:rPr>
                <w:rFonts w:eastAsia="仿宋"/>
                <w:szCs w:val="21"/>
              </w:rPr>
            </w:pPr>
            <w:r>
              <w:rPr>
                <w:rFonts w:eastAsia="仿宋"/>
              </w:rPr>
              <w:sym w:font="Wingdings 2" w:char="00A3"/>
            </w:r>
            <w:r>
              <w:rPr>
                <w:rFonts w:eastAsia="仿宋"/>
              </w:rPr>
              <w:t xml:space="preserve">人员受照 </w:t>
            </w:r>
            <w:r>
              <w:rPr>
                <w:rFonts w:eastAsia="仿宋"/>
              </w:rPr>
              <w:sym w:font="Wingdings 2" w:char="00A3"/>
            </w:r>
            <w:r>
              <w:rPr>
                <w:rFonts w:eastAsia="仿宋"/>
              </w:rPr>
              <w:t>人员污染</w:t>
            </w:r>
          </w:p>
        </w:tc>
        <w:tc>
          <w:tcPr>
            <w:tcW w:w="595" w:type="pct"/>
            <w:tcBorders>
              <w:top w:val="single" w:color="auto" w:sz="4" w:space="0"/>
              <w:left w:val="single" w:color="auto" w:sz="4" w:space="0"/>
              <w:bottom w:val="single" w:color="auto" w:sz="4" w:space="0"/>
              <w:right w:val="single" w:color="auto" w:sz="4" w:space="0"/>
            </w:tcBorders>
            <w:vAlign w:val="center"/>
          </w:tcPr>
          <w:p w14:paraId="5BBBA522">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受照人数</w:t>
            </w:r>
          </w:p>
        </w:tc>
        <w:tc>
          <w:tcPr>
            <w:tcW w:w="507" w:type="pct"/>
            <w:gridSpan w:val="3"/>
            <w:tcBorders>
              <w:top w:val="single" w:color="auto" w:sz="4" w:space="0"/>
              <w:left w:val="single" w:color="auto" w:sz="4" w:space="0"/>
              <w:bottom w:val="single" w:color="auto" w:sz="4" w:space="0"/>
              <w:right w:val="single" w:color="auto" w:sz="4" w:space="0"/>
            </w:tcBorders>
            <w:vAlign w:val="center"/>
          </w:tcPr>
          <w:p w14:paraId="331800B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18253004">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受污染人数</w:t>
            </w:r>
          </w:p>
        </w:tc>
        <w:tc>
          <w:tcPr>
            <w:tcW w:w="708" w:type="pct"/>
            <w:tcBorders>
              <w:top w:val="single" w:color="auto" w:sz="4" w:space="0"/>
              <w:left w:val="single" w:color="auto" w:sz="4" w:space="0"/>
              <w:bottom w:val="single" w:color="auto" w:sz="4" w:space="0"/>
              <w:right w:val="single" w:color="auto" w:sz="8" w:space="0"/>
            </w:tcBorders>
            <w:vAlign w:val="center"/>
          </w:tcPr>
          <w:p w14:paraId="5FC8D9B5">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24DF63C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continue"/>
            <w:tcBorders>
              <w:top w:val="single" w:color="auto" w:sz="4" w:space="0"/>
              <w:left w:val="single" w:color="auto" w:sz="8" w:space="0"/>
              <w:bottom w:val="single" w:color="auto" w:sz="4" w:space="0"/>
              <w:right w:val="single" w:color="auto" w:sz="4" w:space="0"/>
            </w:tcBorders>
            <w:vAlign w:val="center"/>
          </w:tcPr>
          <w:p w14:paraId="3165B79B">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08204E87">
            <w:pPr>
              <w:keepNext w:val="0"/>
              <w:keepLines w:val="0"/>
              <w:pageBreakBefore w:val="0"/>
              <w:kinsoku/>
              <w:wordWrap/>
              <w:overflowPunct/>
              <w:topLinePunct w:val="0"/>
              <w:autoSpaceDE/>
              <w:autoSpaceDN/>
              <w:bidi w:val="0"/>
              <w:adjustRightInd/>
              <w:ind w:firstLine="0"/>
              <w:textAlignment w:val="auto"/>
              <w:rPr>
                <w:rFonts w:eastAsia="仿宋"/>
                <w:szCs w:val="21"/>
                <w:bdr w:val="single" w:color="auto" w:sz="4" w:space="0"/>
              </w:rPr>
            </w:pPr>
            <w:r>
              <w:rPr>
                <w:rFonts w:eastAsia="仿宋"/>
              </w:rPr>
              <w:sym w:font="Wingdings 2" w:char="00A3"/>
            </w:r>
            <w:r>
              <w:rPr>
                <w:rFonts w:eastAsia="仿宋"/>
              </w:rPr>
              <w:t xml:space="preserve">丢失 </w:t>
            </w:r>
            <w:r>
              <w:rPr>
                <w:rFonts w:eastAsia="仿宋"/>
              </w:rPr>
              <w:sym w:font="Wingdings 2" w:char="00A3"/>
            </w:r>
            <w:r>
              <w:rPr>
                <w:rFonts w:eastAsia="仿宋"/>
              </w:rPr>
              <w:t xml:space="preserve">被盗 </w:t>
            </w:r>
            <w:r>
              <w:rPr>
                <w:rFonts w:eastAsia="仿宋"/>
              </w:rPr>
              <w:sym w:font="Wingdings 2" w:char="00A3"/>
            </w:r>
            <w:r>
              <w:rPr>
                <w:rFonts w:eastAsia="仿宋"/>
              </w:rPr>
              <w:t>失控</w:t>
            </w:r>
          </w:p>
        </w:tc>
        <w:tc>
          <w:tcPr>
            <w:tcW w:w="1102" w:type="pct"/>
            <w:gridSpan w:val="4"/>
            <w:tcBorders>
              <w:top w:val="single" w:color="auto" w:sz="4" w:space="0"/>
              <w:left w:val="single" w:color="auto" w:sz="4" w:space="0"/>
              <w:bottom w:val="single" w:color="auto" w:sz="4" w:space="0"/>
              <w:right w:val="single" w:color="auto" w:sz="4" w:space="0"/>
            </w:tcBorders>
            <w:vAlign w:val="center"/>
          </w:tcPr>
          <w:p w14:paraId="1DDC3D7C">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事故源数量</w:t>
            </w:r>
          </w:p>
        </w:tc>
        <w:tc>
          <w:tcPr>
            <w:tcW w:w="1389" w:type="pct"/>
            <w:gridSpan w:val="3"/>
            <w:tcBorders>
              <w:top w:val="single" w:color="auto" w:sz="4" w:space="0"/>
              <w:left w:val="single" w:color="auto" w:sz="4" w:space="0"/>
              <w:bottom w:val="single" w:color="auto" w:sz="4" w:space="0"/>
              <w:right w:val="single" w:color="auto" w:sz="8" w:space="0"/>
            </w:tcBorders>
            <w:vAlign w:val="center"/>
          </w:tcPr>
          <w:p w14:paraId="5716047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02651CE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continue"/>
            <w:tcBorders>
              <w:top w:val="single" w:color="auto" w:sz="4" w:space="0"/>
              <w:left w:val="single" w:color="auto" w:sz="8" w:space="0"/>
              <w:bottom w:val="single" w:color="auto" w:sz="4" w:space="0"/>
              <w:right w:val="single" w:color="auto" w:sz="4" w:space="0"/>
            </w:tcBorders>
            <w:vAlign w:val="center"/>
          </w:tcPr>
          <w:p w14:paraId="37AB7853">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13BC6205">
            <w:pPr>
              <w:keepNext w:val="0"/>
              <w:keepLines w:val="0"/>
              <w:pageBreakBefore w:val="0"/>
              <w:kinsoku/>
              <w:wordWrap/>
              <w:overflowPunct/>
              <w:topLinePunct w:val="0"/>
              <w:autoSpaceDE/>
              <w:autoSpaceDN/>
              <w:bidi w:val="0"/>
              <w:adjustRightInd/>
              <w:ind w:firstLine="0"/>
              <w:textAlignment w:val="auto"/>
              <w:rPr>
                <w:rFonts w:eastAsia="仿宋"/>
                <w:szCs w:val="21"/>
                <w:bdr w:val="single" w:color="auto" w:sz="4" w:space="0"/>
              </w:rPr>
            </w:pPr>
            <w:r>
              <w:rPr>
                <w:rFonts w:eastAsia="仿宋"/>
              </w:rPr>
              <w:sym w:font="Wingdings 2" w:char="00A3"/>
            </w:r>
            <w:r>
              <w:rPr>
                <w:rFonts w:eastAsia="仿宋"/>
              </w:rPr>
              <w:t>放射性污染</w:t>
            </w:r>
          </w:p>
        </w:tc>
        <w:tc>
          <w:tcPr>
            <w:tcW w:w="1102" w:type="pct"/>
            <w:gridSpan w:val="4"/>
            <w:tcBorders>
              <w:top w:val="single" w:color="auto" w:sz="4" w:space="0"/>
              <w:left w:val="single" w:color="auto" w:sz="4" w:space="0"/>
              <w:bottom w:val="single" w:color="auto" w:sz="4" w:space="0"/>
              <w:right w:val="single" w:color="auto" w:sz="4" w:space="0"/>
            </w:tcBorders>
            <w:vAlign w:val="center"/>
          </w:tcPr>
          <w:p w14:paraId="058E807A">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污染面积(m</w:t>
            </w:r>
            <w:r>
              <w:rPr>
                <w:rFonts w:eastAsia="仿宋"/>
                <w:szCs w:val="21"/>
                <w:vertAlign w:val="superscript"/>
              </w:rPr>
              <w:t>2</w:t>
            </w:r>
            <w:r>
              <w:rPr>
                <w:rFonts w:eastAsia="仿宋"/>
                <w:szCs w:val="21"/>
              </w:rPr>
              <w:t>)</w:t>
            </w:r>
          </w:p>
        </w:tc>
        <w:tc>
          <w:tcPr>
            <w:tcW w:w="1389" w:type="pct"/>
            <w:gridSpan w:val="3"/>
            <w:tcBorders>
              <w:top w:val="single" w:color="auto" w:sz="4" w:space="0"/>
              <w:left w:val="single" w:color="auto" w:sz="4" w:space="0"/>
              <w:bottom w:val="single" w:color="auto" w:sz="4" w:space="0"/>
              <w:right w:val="single" w:color="auto" w:sz="8" w:space="0"/>
            </w:tcBorders>
            <w:vAlign w:val="center"/>
          </w:tcPr>
          <w:p w14:paraId="0A65574D">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r>
      <w:tr w14:paraId="114E3D8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0EC6C1C6">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序号</w:t>
            </w:r>
          </w:p>
        </w:tc>
        <w:tc>
          <w:tcPr>
            <w:tcW w:w="638" w:type="pct"/>
            <w:tcBorders>
              <w:top w:val="single" w:color="auto" w:sz="4" w:space="0"/>
              <w:left w:val="single" w:color="auto" w:sz="4" w:space="0"/>
              <w:bottom w:val="single" w:color="auto" w:sz="4" w:space="0"/>
              <w:right w:val="single" w:color="auto" w:sz="4" w:space="0"/>
            </w:tcBorders>
            <w:vAlign w:val="center"/>
          </w:tcPr>
          <w:p w14:paraId="424532E9">
            <w:pPr>
              <w:keepNext w:val="0"/>
              <w:keepLines w:val="0"/>
              <w:pageBreakBefore w:val="0"/>
              <w:kinsoku/>
              <w:wordWrap/>
              <w:overflowPunct/>
              <w:topLinePunct w:val="0"/>
              <w:autoSpaceDE/>
              <w:autoSpaceDN/>
              <w:bidi w:val="0"/>
              <w:adjustRightInd/>
              <w:snapToGrid w:val="0"/>
              <w:ind w:firstLine="0"/>
              <w:jc w:val="center"/>
              <w:textAlignment w:val="auto"/>
              <w:rPr>
                <w:rFonts w:eastAsia="仿宋"/>
                <w:spacing w:val="-20"/>
                <w:szCs w:val="21"/>
              </w:rPr>
            </w:pPr>
            <w:r>
              <w:rPr>
                <w:rFonts w:eastAsia="仿宋"/>
                <w:spacing w:val="-20"/>
                <w:szCs w:val="21"/>
              </w:rPr>
              <w:t>事故源核素</w:t>
            </w:r>
          </w:p>
          <w:p w14:paraId="220BC8DC">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名称</w:t>
            </w:r>
          </w:p>
        </w:tc>
        <w:tc>
          <w:tcPr>
            <w:tcW w:w="713" w:type="pct"/>
            <w:tcBorders>
              <w:top w:val="single" w:color="auto" w:sz="4" w:space="0"/>
              <w:left w:val="single" w:color="auto" w:sz="4" w:space="0"/>
              <w:bottom w:val="single" w:color="auto" w:sz="4" w:space="0"/>
              <w:right w:val="single" w:color="auto" w:sz="4" w:space="0"/>
            </w:tcBorders>
            <w:vAlign w:val="center"/>
          </w:tcPr>
          <w:p w14:paraId="1A601664">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出厂</w:t>
            </w:r>
          </w:p>
          <w:p w14:paraId="66C140F8">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活度（Bq）</w:t>
            </w:r>
          </w:p>
        </w:tc>
        <w:tc>
          <w:tcPr>
            <w:tcW w:w="642" w:type="pct"/>
            <w:tcBorders>
              <w:top w:val="single" w:color="auto" w:sz="4" w:space="0"/>
              <w:left w:val="single" w:color="auto" w:sz="4" w:space="0"/>
              <w:bottom w:val="single" w:color="auto" w:sz="4" w:space="0"/>
              <w:right w:val="single" w:color="auto" w:sz="4" w:space="0"/>
            </w:tcBorders>
            <w:vAlign w:val="center"/>
          </w:tcPr>
          <w:p w14:paraId="72410E9F">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出厂日期</w:t>
            </w:r>
          </w:p>
        </w:tc>
        <w:tc>
          <w:tcPr>
            <w:tcW w:w="959" w:type="pct"/>
            <w:gridSpan w:val="3"/>
            <w:tcBorders>
              <w:top w:val="single" w:color="auto" w:sz="4" w:space="0"/>
              <w:left w:val="single" w:color="auto" w:sz="4" w:space="0"/>
              <w:bottom w:val="single" w:color="auto" w:sz="4" w:space="0"/>
              <w:right w:val="single" w:color="auto" w:sz="4" w:space="0"/>
            </w:tcBorders>
            <w:vAlign w:val="center"/>
          </w:tcPr>
          <w:p w14:paraId="0714DC41">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放射源编码</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B07EDC">
            <w:pPr>
              <w:keepNext w:val="0"/>
              <w:keepLines w:val="0"/>
              <w:pageBreakBefore w:val="0"/>
              <w:kinsoku/>
              <w:wordWrap/>
              <w:overflowPunct/>
              <w:topLinePunct w:val="0"/>
              <w:autoSpaceDE/>
              <w:autoSpaceDN/>
              <w:bidi w:val="0"/>
              <w:adjustRightInd/>
              <w:snapToGrid w:val="0"/>
              <w:ind w:firstLine="0"/>
              <w:jc w:val="center"/>
              <w:textAlignment w:val="auto"/>
              <w:rPr>
                <w:rFonts w:eastAsia="仿宋"/>
                <w:spacing w:val="-10"/>
                <w:szCs w:val="21"/>
              </w:rPr>
            </w:pPr>
            <w:r>
              <w:rPr>
                <w:rFonts w:eastAsia="仿宋"/>
                <w:spacing w:val="-10"/>
                <w:szCs w:val="21"/>
              </w:rPr>
              <w:t>事故时活度</w:t>
            </w:r>
          </w:p>
          <w:p w14:paraId="7401F5D6">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（Bq）</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vAlign w:val="center"/>
          </w:tcPr>
          <w:p w14:paraId="070DD0B9">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非密封放射性物质</w:t>
            </w:r>
          </w:p>
          <w:p w14:paraId="5DE48DBC">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状态（固/液态）</w:t>
            </w:r>
          </w:p>
        </w:tc>
      </w:tr>
      <w:tr w14:paraId="44612E0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1C67C9D2">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p>
        </w:tc>
        <w:tc>
          <w:tcPr>
            <w:tcW w:w="638" w:type="pct"/>
            <w:tcBorders>
              <w:top w:val="single" w:color="auto" w:sz="4" w:space="0"/>
              <w:left w:val="single" w:color="auto" w:sz="4" w:space="0"/>
              <w:bottom w:val="single" w:color="auto" w:sz="4" w:space="0"/>
              <w:right w:val="single" w:color="auto" w:sz="4" w:space="0"/>
            </w:tcBorders>
          </w:tcPr>
          <w:p w14:paraId="1AFC47D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713" w:type="pct"/>
            <w:tcBorders>
              <w:top w:val="single" w:color="auto" w:sz="4" w:space="0"/>
              <w:left w:val="single" w:color="auto" w:sz="4" w:space="0"/>
              <w:bottom w:val="single" w:color="auto" w:sz="4" w:space="0"/>
              <w:right w:val="single" w:color="auto" w:sz="4" w:space="0"/>
            </w:tcBorders>
          </w:tcPr>
          <w:p w14:paraId="5B4752F9">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642" w:type="pct"/>
            <w:tcBorders>
              <w:top w:val="single" w:color="auto" w:sz="4" w:space="0"/>
              <w:left w:val="single" w:color="auto" w:sz="4" w:space="0"/>
              <w:bottom w:val="single" w:color="auto" w:sz="4" w:space="0"/>
              <w:right w:val="single" w:color="auto" w:sz="4" w:space="0"/>
            </w:tcBorders>
          </w:tcPr>
          <w:p w14:paraId="5776473B">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959" w:type="pct"/>
            <w:gridSpan w:val="3"/>
            <w:tcBorders>
              <w:top w:val="single" w:color="auto" w:sz="4" w:space="0"/>
              <w:left w:val="single" w:color="auto" w:sz="4" w:space="0"/>
              <w:bottom w:val="single" w:color="auto" w:sz="4" w:space="0"/>
              <w:right w:val="single" w:color="auto" w:sz="4" w:space="0"/>
            </w:tcBorders>
          </w:tcPr>
          <w:p w14:paraId="3D45C3E7">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7E815BC0">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tcPr>
          <w:p w14:paraId="37E9FAE9">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18535C8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39E2600D">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011AF0FD">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713" w:type="pct"/>
            <w:tcBorders>
              <w:top w:val="single" w:color="auto" w:sz="4" w:space="0"/>
              <w:left w:val="single" w:color="auto" w:sz="4" w:space="0"/>
              <w:bottom w:val="single" w:color="auto" w:sz="4" w:space="0"/>
              <w:right w:val="single" w:color="auto" w:sz="4" w:space="0"/>
            </w:tcBorders>
          </w:tcPr>
          <w:p w14:paraId="1277AE5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642" w:type="pct"/>
            <w:tcBorders>
              <w:top w:val="single" w:color="auto" w:sz="4" w:space="0"/>
              <w:left w:val="single" w:color="auto" w:sz="4" w:space="0"/>
              <w:bottom w:val="single" w:color="auto" w:sz="4" w:space="0"/>
              <w:right w:val="single" w:color="auto" w:sz="4" w:space="0"/>
            </w:tcBorders>
          </w:tcPr>
          <w:p w14:paraId="7A985CFF">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p>
        </w:tc>
        <w:tc>
          <w:tcPr>
            <w:tcW w:w="959" w:type="pct"/>
            <w:gridSpan w:val="3"/>
            <w:tcBorders>
              <w:top w:val="single" w:color="auto" w:sz="4" w:space="0"/>
              <w:left w:val="single" w:color="auto" w:sz="4" w:space="0"/>
              <w:bottom w:val="single" w:color="auto" w:sz="4" w:space="0"/>
              <w:right w:val="single" w:color="auto" w:sz="4" w:space="0"/>
            </w:tcBorders>
          </w:tcPr>
          <w:p w14:paraId="315943F9">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37DAD77">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tcPr>
          <w:p w14:paraId="08C66587">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5B6AD94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06EFC2EA">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序号</w:t>
            </w:r>
          </w:p>
        </w:tc>
        <w:tc>
          <w:tcPr>
            <w:tcW w:w="638" w:type="pct"/>
            <w:tcBorders>
              <w:top w:val="single" w:color="auto" w:sz="4" w:space="0"/>
              <w:left w:val="single" w:color="auto" w:sz="4" w:space="0"/>
              <w:bottom w:val="single" w:color="auto" w:sz="4" w:space="0"/>
              <w:right w:val="single" w:color="auto" w:sz="4" w:space="0"/>
            </w:tcBorders>
            <w:vAlign w:val="center"/>
          </w:tcPr>
          <w:p w14:paraId="659ACFE0">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射线装置</w:t>
            </w:r>
          </w:p>
          <w:p w14:paraId="1BFF0CCB">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名称</w:t>
            </w:r>
          </w:p>
        </w:tc>
        <w:tc>
          <w:tcPr>
            <w:tcW w:w="713" w:type="pct"/>
            <w:tcBorders>
              <w:top w:val="single" w:color="auto" w:sz="4" w:space="0"/>
              <w:left w:val="single" w:color="auto" w:sz="4" w:space="0"/>
              <w:bottom w:val="single" w:color="auto" w:sz="4" w:space="0"/>
              <w:right w:val="single" w:color="auto" w:sz="4" w:space="0"/>
            </w:tcBorders>
            <w:vAlign w:val="center"/>
          </w:tcPr>
          <w:p w14:paraId="494A1D35">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型  号</w:t>
            </w:r>
          </w:p>
        </w:tc>
        <w:tc>
          <w:tcPr>
            <w:tcW w:w="642" w:type="pct"/>
            <w:tcBorders>
              <w:top w:val="single" w:color="auto" w:sz="4" w:space="0"/>
              <w:left w:val="single" w:color="auto" w:sz="4" w:space="0"/>
              <w:bottom w:val="single" w:color="auto" w:sz="4" w:space="0"/>
              <w:right w:val="single" w:color="auto" w:sz="4" w:space="0"/>
            </w:tcBorders>
            <w:vAlign w:val="center"/>
          </w:tcPr>
          <w:p w14:paraId="20554CB6">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生产厂家</w:t>
            </w:r>
          </w:p>
        </w:tc>
        <w:tc>
          <w:tcPr>
            <w:tcW w:w="959" w:type="pct"/>
            <w:gridSpan w:val="3"/>
            <w:tcBorders>
              <w:top w:val="single" w:color="auto" w:sz="4" w:space="0"/>
              <w:left w:val="single" w:color="auto" w:sz="4" w:space="0"/>
              <w:bottom w:val="single" w:color="auto" w:sz="4" w:space="0"/>
              <w:right w:val="single" w:color="auto" w:sz="4" w:space="0"/>
            </w:tcBorders>
            <w:vAlign w:val="center"/>
          </w:tcPr>
          <w:p w14:paraId="59BC1D8B">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设备编号</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B4B0F58">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pacing w:val="-10"/>
                <w:szCs w:val="21"/>
              </w:rPr>
              <w:t>所在场所</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vAlign w:val="center"/>
          </w:tcPr>
          <w:p w14:paraId="34DF554B">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主要参数</w:t>
            </w:r>
          </w:p>
        </w:tc>
      </w:tr>
      <w:tr w14:paraId="0D92988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4E7C89EA">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 xml:space="preserve"> </w:t>
            </w:r>
          </w:p>
        </w:tc>
        <w:tc>
          <w:tcPr>
            <w:tcW w:w="638" w:type="pct"/>
            <w:tcBorders>
              <w:top w:val="single" w:color="auto" w:sz="4" w:space="0"/>
              <w:left w:val="single" w:color="auto" w:sz="4" w:space="0"/>
              <w:bottom w:val="single" w:color="auto" w:sz="4" w:space="0"/>
              <w:right w:val="single" w:color="auto" w:sz="4" w:space="0"/>
            </w:tcBorders>
            <w:vAlign w:val="center"/>
          </w:tcPr>
          <w:p w14:paraId="233038CC">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713" w:type="pct"/>
            <w:tcBorders>
              <w:top w:val="single" w:color="auto" w:sz="4" w:space="0"/>
              <w:left w:val="single" w:color="auto" w:sz="4" w:space="0"/>
              <w:bottom w:val="single" w:color="auto" w:sz="4" w:space="0"/>
              <w:right w:val="single" w:color="auto" w:sz="4" w:space="0"/>
            </w:tcBorders>
          </w:tcPr>
          <w:p w14:paraId="11AA546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42" w:type="pct"/>
            <w:tcBorders>
              <w:top w:val="single" w:color="auto" w:sz="4" w:space="0"/>
              <w:left w:val="single" w:color="auto" w:sz="4" w:space="0"/>
              <w:bottom w:val="single" w:color="auto" w:sz="4" w:space="0"/>
              <w:right w:val="single" w:color="auto" w:sz="4" w:space="0"/>
            </w:tcBorders>
          </w:tcPr>
          <w:p w14:paraId="3045CAC5">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959" w:type="pct"/>
            <w:gridSpan w:val="3"/>
            <w:tcBorders>
              <w:top w:val="single" w:color="auto" w:sz="4" w:space="0"/>
              <w:left w:val="single" w:color="auto" w:sz="4" w:space="0"/>
              <w:bottom w:val="single" w:color="auto" w:sz="4" w:space="0"/>
              <w:right w:val="single" w:color="auto" w:sz="4" w:space="0"/>
            </w:tcBorders>
          </w:tcPr>
          <w:p w14:paraId="669055D5">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2F95EDFA">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tcPr>
          <w:p w14:paraId="565D564F">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1D9B760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306" w:type="pct"/>
            <w:tcBorders>
              <w:top w:val="single" w:color="auto" w:sz="4" w:space="0"/>
              <w:left w:val="single" w:color="auto" w:sz="8" w:space="0"/>
              <w:bottom w:val="single" w:color="auto" w:sz="4" w:space="0"/>
              <w:right w:val="single" w:color="auto" w:sz="4" w:space="0"/>
            </w:tcBorders>
            <w:vAlign w:val="center"/>
          </w:tcPr>
          <w:p w14:paraId="29C4A761">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 xml:space="preserve"> </w:t>
            </w:r>
          </w:p>
        </w:tc>
        <w:tc>
          <w:tcPr>
            <w:tcW w:w="638" w:type="pct"/>
            <w:tcBorders>
              <w:top w:val="single" w:color="auto" w:sz="4" w:space="0"/>
              <w:left w:val="single" w:color="auto" w:sz="4" w:space="0"/>
              <w:bottom w:val="single" w:color="auto" w:sz="4" w:space="0"/>
              <w:right w:val="single" w:color="auto" w:sz="4" w:space="0"/>
            </w:tcBorders>
            <w:vAlign w:val="center"/>
          </w:tcPr>
          <w:p w14:paraId="31AE901C">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713" w:type="pct"/>
            <w:tcBorders>
              <w:top w:val="single" w:color="auto" w:sz="4" w:space="0"/>
              <w:left w:val="single" w:color="auto" w:sz="4" w:space="0"/>
              <w:bottom w:val="single" w:color="auto" w:sz="4" w:space="0"/>
              <w:right w:val="single" w:color="auto" w:sz="4" w:space="0"/>
            </w:tcBorders>
          </w:tcPr>
          <w:p w14:paraId="0422067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42" w:type="pct"/>
            <w:tcBorders>
              <w:top w:val="single" w:color="auto" w:sz="4" w:space="0"/>
              <w:left w:val="single" w:color="auto" w:sz="4" w:space="0"/>
              <w:bottom w:val="single" w:color="auto" w:sz="4" w:space="0"/>
              <w:right w:val="single" w:color="auto" w:sz="4" w:space="0"/>
            </w:tcBorders>
          </w:tcPr>
          <w:p w14:paraId="59E79FC1">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959" w:type="pct"/>
            <w:gridSpan w:val="3"/>
            <w:tcBorders>
              <w:top w:val="single" w:color="auto" w:sz="4" w:space="0"/>
              <w:left w:val="single" w:color="auto" w:sz="4" w:space="0"/>
              <w:bottom w:val="single" w:color="auto" w:sz="4" w:space="0"/>
              <w:right w:val="single" w:color="auto" w:sz="4" w:space="0"/>
            </w:tcBorders>
          </w:tcPr>
          <w:p w14:paraId="558C4BE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614" w:type="pct"/>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8D6AB49">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c>
          <w:tcPr>
            <w:tcW w:w="1124" w:type="pct"/>
            <w:gridSpan w:val="2"/>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tcPr>
          <w:p w14:paraId="1BE12190">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41D46B0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tcMar>
              <w:top w:w="0" w:type="dxa"/>
              <w:left w:w="0" w:type="dxa"/>
              <w:bottom w:w="0" w:type="dxa"/>
              <w:right w:w="0" w:type="dxa"/>
            </w:tcMar>
            <w:vAlign w:val="center"/>
          </w:tcPr>
          <w:p w14:paraId="6038A40C">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 故 级 别</w:t>
            </w:r>
          </w:p>
        </w:tc>
        <w:tc>
          <w:tcPr>
            <w:tcW w:w="4055" w:type="pct"/>
            <w:gridSpan w:val="10"/>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vAlign w:val="center"/>
          </w:tcPr>
          <w:p w14:paraId="49FF518B">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rPr>
              <w:t>□</w:t>
            </w:r>
            <w:r>
              <w:rPr>
                <w:rFonts w:eastAsia="仿宋"/>
                <w:sz w:val="18"/>
                <w:szCs w:val="18"/>
              </w:rPr>
              <w:t xml:space="preserve">一般辐射事故   </w:t>
            </w:r>
            <w:r>
              <w:rPr>
                <w:rFonts w:eastAsia="仿宋"/>
              </w:rPr>
              <w:t>□</w:t>
            </w:r>
            <w:r>
              <w:rPr>
                <w:rFonts w:eastAsia="仿宋"/>
                <w:sz w:val="18"/>
                <w:szCs w:val="18"/>
              </w:rPr>
              <w:t xml:space="preserve">较大辐射事故   </w:t>
            </w:r>
            <w:r>
              <w:rPr>
                <w:rFonts w:eastAsia="仿宋"/>
              </w:rPr>
              <w:t>□</w:t>
            </w:r>
            <w:r>
              <w:rPr>
                <w:rFonts w:eastAsia="仿宋"/>
                <w:sz w:val="18"/>
                <w:szCs w:val="18"/>
              </w:rPr>
              <w:t xml:space="preserve">重大辐射事故   </w:t>
            </w:r>
            <w:r>
              <w:rPr>
                <w:rFonts w:eastAsia="仿宋"/>
              </w:rPr>
              <w:t>□</w:t>
            </w:r>
            <w:r>
              <w:rPr>
                <w:rFonts w:eastAsia="仿宋"/>
                <w:sz w:val="18"/>
                <w:szCs w:val="18"/>
              </w:rPr>
              <w:t>特别重大辐射事故</w:t>
            </w:r>
          </w:p>
        </w:tc>
      </w:tr>
      <w:tr w14:paraId="3FE111F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944" w:type="pct"/>
            <w:gridSpan w:val="2"/>
            <w:tcBorders>
              <w:top w:val="single" w:color="auto" w:sz="4" w:space="0"/>
              <w:left w:val="single" w:color="auto" w:sz="8" w:space="0"/>
              <w:bottom w:val="single" w:color="auto" w:sz="4" w:space="0"/>
              <w:right w:val="single" w:color="auto" w:sz="4" w:space="0"/>
            </w:tcBorders>
            <w:vAlign w:val="center"/>
          </w:tcPr>
          <w:p w14:paraId="78E51453">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事故经过</w:t>
            </w:r>
          </w:p>
          <w:p w14:paraId="4CE6F0AF">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和处理情况</w:t>
            </w:r>
          </w:p>
        </w:tc>
        <w:tc>
          <w:tcPr>
            <w:tcW w:w="4055" w:type="pct"/>
            <w:gridSpan w:val="10"/>
            <w:tcBorders>
              <w:top w:val="single" w:color="auto" w:sz="4" w:space="0"/>
              <w:left w:val="single" w:color="auto" w:sz="4" w:space="0"/>
              <w:bottom w:val="single" w:color="auto" w:sz="4" w:space="0"/>
              <w:right w:val="single" w:color="auto" w:sz="8" w:space="0"/>
            </w:tcBorders>
          </w:tcPr>
          <w:p w14:paraId="203F618D">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0B7EC17A">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1DEEF0E2">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12D37DAF">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337E9213">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199B17E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7B25DABB">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69D04C62">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p w14:paraId="19991924">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  </w:t>
            </w:r>
          </w:p>
        </w:tc>
      </w:tr>
      <w:tr w14:paraId="0372A8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restart"/>
            <w:tcBorders>
              <w:top w:val="single" w:color="auto" w:sz="4" w:space="0"/>
              <w:left w:val="single" w:color="auto" w:sz="8" w:space="0"/>
              <w:bottom w:val="single" w:color="auto" w:sz="8" w:space="0"/>
              <w:right w:val="single" w:color="auto" w:sz="4" w:space="0"/>
            </w:tcBorders>
            <w:vAlign w:val="center"/>
          </w:tcPr>
          <w:p w14:paraId="089A7DFD">
            <w:pPr>
              <w:keepNext w:val="0"/>
              <w:keepLines w:val="0"/>
              <w:pageBreakBefore w:val="0"/>
              <w:kinsoku/>
              <w:wordWrap/>
              <w:overflowPunct/>
              <w:topLinePunct w:val="0"/>
              <w:autoSpaceDE/>
              <w:autoSpaceDN/>
              <w:bidi w:val="0"/>
              <w:adjustRightInd/>
              <w:snapToGrid w:val="0"/>
              <w:ind w:firstLine="0"/>
              <w:jc w:val="center"/>
              <w:textAlignment w:val="auto"/>
              <w:rPr>
                <w:rFonts w:eastAsia="仿宋"/>
                <w:szCs w:val="21"/>
              </w:rPr>
            </w:pPr>
            <w:r>
              <w:rPr>
                <w:rFonts w:eastAsia="仿宋"/>
                <w:szCs w:val="21"/>
              </w:rPr>
              <w:t xml:space="preserve">事发地生态环境主管部门 </w:t>
            </w: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4E229D60">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 xml:space="preserve">联系人                         </w:t>
            </w:r>
          </w:p>
        </w:tc>
        <w:tc>
          <w:tcPr>
            <w:tcW w:w="2491" w:type="pct"/>
            <w:gridSpan w:val="7"/>
            <w:vMerge w:val="restart"/>
            <w:tcBorders>
              <w:top w:val="single" w:color="auto" w:sz="4" w:space="0"/>
              <w:left w:val="single" w:color="auto" w:sz="4" w:space="0"/>
              <w:bottom w:val="single" w:color="auto" w:sz="8" w:space="0"/>
              <w:right w:val="single" w:color="auto" w:sz="8" w:space="0"/>
            </w:tcBorders>
            <w:vAlign w:val="center"/>
          </w:tcPr>
          <w:p w14:paraId="12CCE452">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(公章)</w:t>
            </w:r>
          </w:p>
        </w:tc>
      </w:tr>
      <w:tr w14:paraId="1AF0728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continue"/>
            <w:tcBorders>
              <w:top w:val="single" w:color="auto" w:sz="4" w:space="0"/>
              <w:left w:val="single" w:color="auto" w:sz="8" w:space="0"/>
              <w:bottom w:val="single" w:color="auto" w:sz="8" w:space="0"/>
              <w:right w:val="single" w:color="auto" w:sz="4" w:space="0"/>
            </w:tcBorders>
            <w:vAlign w:val="center"/>
          </w:tcPr>
          <w:p w14:paraId="3FBB21CE">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c>
          <w:tcPr>
            <w:tcW w:w="1563" w:type="pct"/>
            <w:gridSpan w:val="3"/>
            <w:tcBorders>
              <w:top w:val="single" w:color="auto" w:sz="4" w:space="0"/>
              <w:left w:val="single" w:color="auto" w:sz="4" w:space="0"/>
              <w:bottom w:val="single" w:color="auto" w:sz="4" w:space="0"/>
              <w:right w:val="single" w:color="auto" w:sz="4" w:space="0"/>
            </w:tcBorders>
            <w:vAlign w:val="center"/>
          </w:tcPr>
          <w:p w14:paraId="074ABD78">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电  话</w:t>
            </w:r>
          </w:p>
        </w:tc>
        <w:tc>
          <w:tcPr>
            <w:tcW w:w="2491" w:type="pct"/>
            <w:gridSpan w:val="7"/>
            <w:vMerge w:val="continue"/>
            <w:tcBorders>
              <w:top w:val="single" w:color="auto" w:sz="4" w:space="0"/>
              <w:left w:val="single" w:color="auto" w:sz="4" w:space="0"/>
              <w:bottom w:val="single" w:color="auto" w:sz="8" w:space="0"/>
              <w:right w:val="single" w:color="auto" w:sz="8" w:space="0"/>
            </w:tcBorders>
            <w:vAlign w:val="center"/>
          </w:tcPr>
          <w:p w14:paraId="388968CB">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r>
      <w:tr w14:paraId="2EF2876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510" w:hRule="atLeast"/>
          <w:jc w:val="center"/>
        </w:trPr>
        <w:tc>
          <w:tcPr>
            <w:tcW w:w="944" w:type="pct"/>
            <w:gridSpan w:val="2"/>
            <w:vMerge w:val="continue"/>
            <w:tcBorders>
              <w:top w:val="single" w:color="auto" w:sz="4" w:space="0"/>
              <w:left w:val="single" w:color="auto" w:sz="8" w:space="0"/>
              <w:bottom w:val="single" w:color="auto" w:sz="8" w:space="0"/>
              <w:right w:val="single" w:color="auto" w:sz="4" w:space="0"/>
            </w:tcBorders>
            <w:vAlign w:val="center"/>
          </w:tcPr>
          <w:p w14:paraId="55C7AD3B">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c>
          <w:tcPr>
            <w:tcW w:w="1563" w:type="pct"/>
            <w:gridSpan w:val="3"/>
            <w:tcBorders>
              <w:top w:val="single" w:color="auto" w:sz="4" w:space="0"/>
              <w:left w:val="single" w:color="auto" w:sz="4" w:space="0"/>
              <w:bottom w:val="single" w:color="auto" w:sz="8" w:space="0"/>
              <w:right w:val="single" w:color="auto" w:sz="4" w:space="0"/>
            </w:tcBorders>
            <w:vAlign w:val="center"/>
          </w:tcPr>
          <w:p w14:paraId="49E3F40A">
            <w:pPr>
              <w:keepNext w:val="0"/>
              <w:keepLines w:val="0"/>
              <w:pageBreakBefore w:val="0"/>
              <w:kinsoku/>
              <w:wordWrap/>
              <w:overflowPunct/>
              <w:topLinePunct w:val="0"/>
              <w:autoSpaceDE/>
              <w:autoSpaceDN/>
              <w:bidi w:val="0"/>
              <w:adjustRightInd/>
              <w:snapToGrid w:val="0"/>
              <w:ind w:firstLine="0"/>
              <w:textAlignment w:val="auto"/>
              <w:rPr>
                <w:rFonts w:eastAsia="仿宋"/>
                <w:szCs w:val="21"/>
              </w:rPr>
            </w:pPr>
            <w:r>
              <w:rPr>
                <w:rFonts w:eastAsia="仿宋"/>
                <w:szCs w:val="21"/>
              </w:rPr>
              <w:t>传  真</w:t>
            </w:r>
          </w:p>
        </w:tc>
        <w:tc>
          <w:tcPr>
            <w:tcW w:w="2491" w:type="pct"/>
            <w:gridSpan w:val="7"/>
            <w:vMerge w:val="continue"/>
            <w:tcBorders>
              <w:top w:val="single" w:color="auto" w:sz="4" w:space="0"/>
              <w:left w:val="single" w:color="auto" w:sz="4" w:space="0"/>
              <w:bottom w:val="single" w:color="auto" w:sz="8" w:space="0"/>
              <w:right w:val="single" w:color="auto" w:sz="8" w:space="0"/>
            </w:tcBorders>
            <w:vAlign w:val="center"/>
          </w:tcPr>
          <w:p w14:paraId="062ABEE4">
            <w:pPr>
              <w:keepNext w:val="0"/>
              <w:keepLines w:val="0"/>
              <w:pageBreakBefore w:val="0"/>
              <w:widowControl/>
              <w:kinsoku/>
              <w:wordWrap/>
              <w:overflowPunct/>
              <w:topLinePunct w:val="0"/>
              <w:autoSpaceDE/>
              <w:autoSpaceDN/>
              <w:bidi w:val="0"/>
              <w:adjustRightInd/>
              <w:ind w:firstLine="0"/>
              <w:jc w:val="left"/>
              <w:textAlignment w:val="auto"/>
              <w:rPr>
                <w:rFonts w:eastAsia="仿宋"/>
                <w:szCs w:val="21"/>
              </w:rPr>
            </w:pPr>
          </w:p>
        </w:tc>
      </w:tr>
    </w:tbl>
    <w:p w14:paraId="6AFCD579">
      <w:pPr>
        <w:pStyle w:val="7"/>
        <w:ind w:firstLine="414"/>
        <w:rPr>
          <w:rFonts w:ascii="Times New Roman" w:hAnsi="Times New Roman" w:eastAsia="仿宋" w:cs="Times New Roman"/>
          <w:b/>
          <w:bCs/>
          <w:color w:val="auto"/>
          <w:spacing w:val="-1"/>
          <w:sz w:val="21"/>
        </w:rPr>
      </w:pPr>
      <w:r>
        <w:rPr>
          <w:rFonts w:ascii="Times New Roman" w:hAnsi="Times New Roman" w:eastAsia="仿宋" w:cs="Times New Roman"/>
          <w:b/>
          <w:bCs/>
          <w:color w:val="auto"/>
          <w:spacing w:val="-1"/>
          <w:w w:val="99"/>
          <w:sz w:val="21"/>
        </w:rPr>
        <w:t>注：射线装置的“主要参数”是指</w:t>
      </w:r>
      <w:r>
        <w:rPr>
          <w:rFonts w:ascii="Times New Roman" w:hAnsi="Times New Roman" w:eastAsia="仿宋" w:cs="Times New Roman"/>
          <w:b/>
          <w:bCs/>
          <w:color w:val="auto"/>
          <w:spacing w:val="-53"/>
          <w:sz w:val="21"/>
        </w:rPr>
        <w:t xml:space="preserve"> </w:t>
      </w:r>
      <w:r>
        <w:rPr>
          <w:rFonts w:ascii="Times New Roman" w:hAnsi="Times New Roman" w:eastAsia="仿宋" w:cs="Times New Roman"/>
          <w:b/>
          <w:bCs/>
          <w:color w:val="auto"/>
          <w:w w:val="99"/>
          <w:sz w:val="21"/>
        </w:rPr>
        <w:t>X</w:t>
      </w:r>
      <w:r>
        <w:rPr>
          <w:rFonts w:ascii="Times New Roman" w:hAnsi="Times New Roman" w:eastAsia="仿宋" w:cs="Times New Roman"/>
          <w:b/>
          <w:bCs/>
          <w:color w:val="auto"/>
          <w:spacing w:val="-52"/>
          <w:sz w:val="21"/>
        </w:rPr>
        <w:t xml:space="preserve"> </w:t>
      </w:r>
      <w:r>
        <w:rPr>
          <w:rFonts w:ascii="Times New Roman" w:hAnsi="Times New Roman" w:eastAsia="仿宋" w:cs="Times New Roman"/>
          <w:b/>
          <w:bCs/>
          <w:color w:val="auto"/>
          <w:spacing w:val="-1"/>
          <w:w w:val="99"/>
          <w:sz w:val="21"/>
        </w:rPr>
        <w:t>射线机的电流</w:t>
      </w:r>
      <w:r>
        <w:rPr>
          <w:rFonts w:ascii="Times New Roman" w:hAnsi="Times New Roman" w:eastAsia="仿宋" w:cs="Times New Roman"/>
          <w:b/>
          <w:bCs/>
          <w:color w:val="auto"/>
          <w:spacing w:val="2"/>
          <w:w w:val="99"/>
          <w:sz w:val="21"/>
        </w:rPr>
        <w:t>（</w:t>
      </w:r>
      <w:r>
        <w:rPr>
          <w:rFonts w:ascii="Times New Roman" w:hAnsi="Times New Roman" w:eastAsia="仿宋" w:cs="Times New Roman"/>
          <w:b/>
          <w:bCs/>
          <w:color w:val="auto"/>
          <w:spacing w:val="1"/>
          <w:w w:val="99"/>
          <w:sz w:val="21"/>
        </w:rPr>
        <w:t>m</w:t>
      </w:r>
      <w:r>
        <w:rPr>
          <w:rFonts w:ascii="Times New Roman" w:hAnsi="Times New Roman" w:eastAsia="仿宋" w:cs="Times New Roman"/>
          <w:b/>
          <w:bCs/>
          <w:color w:val="auto"/>
          <w:spacing w:val="-2"/>
          <w:w w:val="99"/>
          <w:sz w:val="21"/>
        </w:rPr>
        <w:t>A</w:t>
      </w:r>
      <w:r>
        <w:rPr>
          <w:rFonts w:ascii="Times New Roman" w:hAnsi="Times New Roman" w:eastAsia="仿宋" w:cs="Times New Roman"/>
          <w:b/>
          <w:bCs/>
          <w:color w:val="auto"/>
          <w:spacing w:val="2"/>
          <w:w w:val="99"/>
          <w:sz w:val="21"/>
        </w:rPr>
        <w:t>）</w:t>
      </w:r>
      <w:r>
        <w:rPr>
          <w:rFonts w:ascii="Times New Roman" w:hAnsi="Times New Roman" w:eastAsia="仿宋" w:cs="Times New Roman"/>
          <w:b/>
          <w:bCs/>
          <w:color w:val="auto"/>
          <w:w w:val="99"/>
          <w:sz w:val="21"/>
        </w:rPr>
        <w:t>和电压</w:t>
      </w:r>
      <w:r>
        <w:rPr>
          <w:rFonts w:ascii="Times New Roman" w:hAnsi="Times New Roman" w:eastAsia="仿宋" w:cs="Times New Roman"/>
          <w:b/>
          <w:bCs/>
          <w:color w:val="auto"/>
          <w:spacing w:val="2"/>
          <w:w w:val="99"/>
          <w:sz w:val="21"/>
        </w:rPr>
        <w:t>（</w:t>
      </w:r>
      <w:r>
        <w:rPr>
          <w:rFonts w:ascii="Times New Roman" w:hAnsi="Times New Roman" w:eastAsia="仿宋" w:cs="Times New Roman"/>
          <w:b/>
          <w:bCs/>
          <w:color w:val="auto"/>
          <w:spacing w:val="1"/>
          <w:w w:val="99"/>
          <w:sz w:val="21"/>
        </w:rPr>
        <w:t>kV）、加</w:t>
      </w:r>
      <w:r>
        <w:rPr>
          <w:rFonts w:ascii="Times New Roman" w:hAnsi="Times New Roman" w:eastAsia="仿宋" w:cs="Times New Roman"/>
          <w:b/>
          <w:bCs/>
          <w:color w:val="auto"/>
          <w:spacing w:val="-1"/>
          <w:w w:val="99"/>
          <w:sz w:val="21"/>
        </w:rPr>
        <w:t>速器线束能量等主要</w:t>
      </w:r>
      <w:r>
        <w:rPr>
          <w:rFonts w:ascii="Times New Roman" w:hAnsi="Times New Roman" w:eastAsia="仿宋" w:cs="Times New Roman"/>
          <w:b/>
          <w:bCs/>
          <w:color w:val="auto"/>
          <w:spacing w:val="-1"/>
          <w:sz w:val="21"/>
        </w:rPr>
        <w:t>性能参数。</w:t>
      </w:r>
    </w:p>
    <w:p w14:paraId="2BAC3CCC">
      <w:pPr>
        <w:rPr>
          <w:rFonts w:ascii="Times New Roman" w:hAnsi="Times New Roman" w:eastAsia="仿宋" w:cs="Times New Roman"/>
          <w:b/>
          <w:bCs/>
          <w:color w:val="auto"/>
          <w:spacing w:val="-1"/>
          <w:sz w:val="21"/>
        </w:rPr>
      </w:pPr>
      <w:r>
        <w:rPr>
          <w:rFonts w:ascii="Times New Roman" w:hAnsi="Times New Roman" w:eastAsia="仿宋" w:cs="Times New Roman"/>
          <w:b/>
          <w:bCs/>
          <w:color w:val="auto"/>
          <w:spacing w:val="-1"/>
          <w:sz w:val="21"/>
        </w:rPr>
        <w:br w:type="page"/>
      </w:r>
    </w:p>
    <w:p w14:paraId="1C291082">
      <w:pPr>
        <w:pStyle w:val="8"/>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Times New Roman" w:hAnsi="Times New Roman" w:cs="Times New Roman"/>
          <w:b/>
          <w:bCs/>
          <w:sz w:val="28"/>
          <w:szCs w:val="28"/>
          <w:lang w:eastAsia="zh-CN"/>
        </w:rPr>
      </w:pPr>
      <w:r>
        <w:rPr>
          <w:rFonts w:hint="eastAsia" w:ascii="Times New Roman" w:hAnsi="Times New Roman" w:cs="Times New Roman"/>
          <w:b/>
          <w:bCs/>
          <w:sz w:val="28"/>
          <w:szCs w:val="28"/>
        </w:rPr>
        <w:t>附件</w:t>
      </w:r>
      <w:r>
        <w:rPr>
          <w:rFonts w:hint="eastAsia" w:ascii="Times New Roman" w:hAnsi="Times New Roman" w:cs="Times New Roman"/>
          <w:b/>
          <w:bCs/>
          <w:sz w:val="28"/>
          <w:szCs w:val="28"/>
          <w:lang w:val="en-US" w:eastAsia="zh-CN"/>
        </w:rPr>
        <w:t>6</w:t>
      </w:r>
    </w:p>
    <w:p w14:paraId="64667143">
      <w:pPr>
        <w:pStyle w:val="8"/>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Times New Roman" w:hAnsi="Times New Roman" w:cs="Times New Roman"/>
          <w:b/>
          <w:bCs/>
          <w:sz w:val="44"/>
          <w:szCs w:val="44"/>
        </w:rPr>
      </w:pPr>
      <w:r>
        <w:rPr>
          <w:rFonts w:hint="eastAsia" w:ascii="Times New Roman" w:hAnsi="Times New Roman" w:cs="Times New Roman"/>
          <w:b/>
          <w:bCs/>
          <w:sz w:val="44"/>
          <w:szCs w:val="44"/>
        </w:rPr>
        <w:t>辐射事故</w:t>
      </w:r>
      <w:r>
        <w:rPr>
          <w:rFonts w:hint="eastAsia" w:ascii="Times New Roman" w:hAnsi="Times New Roman" w:cs="Times New Roman"/>
          <w:b/>
          <w:bCs/>
          <w:sz w:val="44"/>
          <w:szCs w:val="44"/>
          <w:lang w:eastAsia="zh-CN"/>
        </w:rPr>
        <w:t>处理结果</w:t>
      </w:r>
      <w:r>
        <w:rPr>
          <w:rFonts w:hint="eastAsia" w:ascii="Times New Roman" w:hAnsi="Times New Roman" w:cs="Times New Roman"/>
          <w:b/>
          <w:bCs/>
          <w:sz w:val="44"/>
          <w:szCs w:val="44"/>
        </w:rPr>
        <w:t>报告表</w:t>
      </w:r>
    </w:p>
    <w:tbl>
      <w:tblPr>
        <w:tblStyle w:val="10"/>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3536"/>
        <w:gridCol w:w="2664"/>
      </w:tblGrid>
      <w:tr w14:paraId="44E9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6B6E660A">
            <w:pPr>
              <w:pageBreakBefore w:val="0"/>
              <w:kinsoku/>
              <w:wordWrap/>
              <w:overflowPunct/>
              <w:topLinePunct w:val="0"/>
              <w:autoSpaceDE/>
              <w:autoSpaceDN/>
              <w:bidi w:val="0"/>
              <w:adjustRightInd/>
              <w:ind w:left="0" w:leftChars="0" w:firstLine="240" w:firstLineChars="100"/>
              <w:jc w:val="both"/>
              <w:textAlignment w:val="auto"/>
              <w:outlineLvl w:val="9"/>
              <w:rPr>
                <w:rFonts w:hint="eastAsia" w:ascii="仿宋_GB2312" w:eastAsia="仿宋_GB2312"/>
                <w:b/>
                <w:color w:val="auto"/>
                <w:szCs w:val="28"/>
                <w:vertAlign w:val="baseline"/>
              </w:rPr>
            </w:pPr>
            <w:r>
              <w:rPr>
                <w:rFonts w:hint="eastAsia" w:ascii="仿宋_GB2312" w:eastAsia="仿宋_GB2312"/>
                <w:b w:val="0"/>
                <w:bCs/>
                <w:color w:val="auto"/>
                <w:sz w:val="24"/>
                <w:szCs w:val="24"/>
                <w:vertAlign w:val="baseline"/>
                <w:lang w:eastAsia="zh-CN"/>
              </w:rPr>
              <w:t>辐射事故单位</w:t>
            </w:r>
          </w:p>
        </w:tc>
        <w:tc>
          <w:tcPr>
            <w:tcW w:w="3536" w:type="dxa"/>
            <w:noWrap w:val="0"/>
            <w:vAlign w:val="center"/>
          </w:tcPr>
          <w:p w14:paraId="53D248F3">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p>
        </w:tc>
        <w:tc>
          <w:tcPr>
            <w:tcW w:w="2664" w:type="dxa"/>
            <w:vMerge w:val="restart"/>
            <w:noWrap w:val="0"/>
            <w:vAlign w:val="top"/>
          </w:tcPr>
          <w:p w14:paraId="6D9EF550">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通告编号：</w:t>
            </w:r>
          </w:p>
        </w:tc>
      </w:tr>
      <w:tr w14:paraId="3073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3C43D44B">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联系人及电话</w:t>
            </w:r>
          </w:p>
        </w:tc>
        <w:tc>
          <w:tcPr>
            <w:tcW w:w="3536" w:type="dxa"/>
            <w:noWrap w:val="0"/>
            <w:vAlign w:val="center"/>
          </w:tcPr>
          <w:p w14:paraId="7C46507B">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p>
        </w:tc>
        <w:tc>
          <w:tcPr>
            <w:tcW w:w="2664" w:type="dxa"/>
            <w:vMerge w:val="continue"/>
            <w:noWrap w:val="0"/>
            <w:vAlign w:val="center"/>
          </w:tcPr>
          <w:p w14:paraId="4EBBBF6C">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p>
        </w:tc>
      </w:tr>
      <w:tr w14:paraId="1788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259" w:type="dxa"/>
            <w:noWrap w:val="0"/>
            <w:vAlign w:val="center"/>
          </w:tcPr>
          <w:p w14:paraId="0E17D0F5">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事故名称</w:t>
            </w:r>
          </w:p>
        </w:tc>
        <w:tc>
          <w:tcPr>
            <w:tcW w:w="6200" w:type="dxa"/>
            <w:gridSpan w:val="2"/>
            <w:noWrap w:val="0"/>
            <w:vAlign w:val="center"/>
          </w:tcPr>
          <w:p w14:paraId="46A64376">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p>
        </w:tc>
      </w:tr>
      <w:tr w14:paraId="5E45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35C3D841">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事故发生时间</w:t>
            </w:r>
          </w:p>
        </w:tc>
        <w:tc>
          <w:tcPr>
            <w:tcW w:w="6200" w:type="dxa"/>
            <w:gridSpan w:val="2"/>
            <w:noWrap w:val="0"/>
            <w:vAlign w:val="center"/>
          </w:tcPr>
          <w:p w14:paraId="1630B2AC">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tc>
      </w:tr>
      <w:tr w14:paraId="3FD1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7879D10F">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通告发出时间</w:t>
            </w:r>
          </w:p>
        </w:tc>
        <w:tc>
          <w:tcPr>
            <w:tcW w:w="6200" w:type="dxa"/>
            <w:gridSpan w:val="2"/>
            <w:noWrap w:val="0"/>
            <w:vAlign w:val="center"/>
          </w:tcPr>
          <w:p w14:paraId="1B49DDCA">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tc>
      </w:tr>
      <w:tr w14:paraId="56BB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13217576">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报告发出时间</w:t>
            </w:r>
          </w:p>
        </w:tc>
        <w:tc>
          <w:tcPr>
            <w:tcW w:w="6200" w:type="dxa"/>
            <w:gridSpan w:val="2"/>
            <w:noWrap w:val="0"/>
            <w:vAlign w:val="center"/>
          </w:tcPr>
          <w:p w14:paraId="7FB7814D">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tc>
      </w:tr>
      <w:tr w14:paraId="4AEF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9" w:type="dxa"/>
            <w:noWrap w:val="0"/>
            <w:vAlign w:val="center"/>
          </w:tcPr>
          <w:p w14:paraId="1B1A68AD">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进入应急状态时间</w:t>
            </w:r>
          </w:p>
        </w:tc>
        <w:tc>
          <w:tcPr>
            <w:tcW w:w="3536" w:type="dxa"/>
            <w:noWrap w:val="0"/>
            <w:vAlign w:val="center"/>
          </w:tcPr>
          <w:p w14:paraId="2A95334E">
            <w:pPr>
              <w:pageBreakBefore w:val="0"/>
              <w:kinsoku/>
              <w:wordWrap/>
              <w:overflowPunct/>
              <w:topLinePunct w:val="0"/>
              <w:autoSpaceDE/>
              <w:autoSpaceDN/>
              <w:bidi w:val="0"/>
              <w:adjustRightInd/>
              <w:ind w:left="0" w:leftChars="0" w:firstLine="0" w:firstLineChars="0"/>
              <w:jc w:val="center"/>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tc>
        <w:tc>
          <w:tcPr>
            <w:tcW w:w="2664" w:type="dxa"/>
            <w:noWrap w:val="0"/>
            <w:vAlign w:val="center"/>
          </w:tcPr>
          <w:p w14:paraId="03EAC292">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应急状态等级：</w:t>
            </w:r>
          </w:p>
        </w:tc>
      </w:tr>
      <w:tr w14:paraId="044B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trPr>
        <w:tc>
          <w:tcPr>
            <w:tcW w:w="8459" w:type="dxa"/>
            <w:gridSpan w:val="3"/>
            <w:noWrap w:val="0"/>
            <w:vAlign w:val="center"/>
          </w:tcPr>
          <w:p w14:paraId="79DA26F4">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1.事故概况：</w:t>
            </w:r>
          </w:p>
          <w:p w14:paraId="5C78A4FE">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620038AE">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2.事故经过：</w:t>
            </w:r>
          </w:p>
          <w:p w14:paraId="2615DCC1">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41A71D0C">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3.事故处理：</w:t>
            </w:r>
          </w:p>
          <w:p w14:paraId="37E58D74">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2E257F28">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4.事故原因：</w:t>
            </w:r>
          </w:p>
          <w:p w14:paraId="1652A37A">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4DEF442F">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5.事故后果：</w:t>
            </w:r>
          </w:p>
          <w:p w14:paraId="08D4ACEE">
            <w:pPr>
              <w:pageBreakBefore w:val="0"/>
              <w:numPr>
                <w:ilvl w:val="0"/>
                <w:numId w:val="0"/>
              </w:numPr>
              <w:kinsoku/>
              <w:wordWrap/>
              <w:overflowPunct/>
              <w:topLinePunct w:val="0"/>
              <w:autoSpaceDE/>
              <w:autoSpaceDN/>
              <w:bidi w:val="0"/>
              <w:adjustRightInd/>
              <w:jc w:val="both"/>
              <w:textAlignment w:val="auto"/>
              <w:outlineLvl w:val="9"/>
              <w:rPr>
                <w:rFonts w:hint="eastAsia" w:ascii="仿宋_GB2312" w:eastAsia="仿宋_GB2312"/>
                <w:b w:val="0"/>
                <w:bCs/>
                <w:color w:val="auto"/>
                <w:sz w:val="24"/>
                <w:szCs w:val="24"/>
                <w:vertAlign w:val="baseline"/>
                <w:lang w:val="en-US" w:eastAsia="zh-CN"/>
              </w:rPr>
            </w:pPr>
          </w:p>
          <w:p w14:paraId="7C2F6304">
            <w:pPr>
              <w:pageBreakBefore w:val="0"/>
              <w:numPr>
                <w:ilvl w:val="0"/>
                <w:numId w:val="0"/>
              </w:numPr>
              <w:kinsoku/>
              <w:wordWrap/>
              <w:overflowPunct/>
              <w:topLinePunct w:val="0"/>
              <w:autoSpaceDE/>
              <w:autoSpaceDN/>
              <w:bidi w:val="0"/>
              <w:adjustRightInd/>
              <w:jc w:val="both"/>
              <w:textAlignment w:val="auto"/>
              <w:outlineLvl w:val="9"/>
              <w:rPr>
                <w:rFonts w:hint="default"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val="en-US" w:eastAsia="zh-CN"/>
              </w:rPr>
              <w:t>6.经验教训：</w:t>
            </w:r>
          </w:p>
        </w:tc>
      </w:tr>
      <w:tr w14:paraId="7CE5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459" w:type="dxa"/>
            <w:gridSpan w:val="3"/>
            <w:noWrap w:val="0"/>
            <w:vAlign w:val="center"/>
          </w:tcPr>
          <w:p w14:paraId="13498992">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报告人签名：</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p w14:paraId="2E52F6EA">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eastAsia="zh-CN"/>
              </w:rPr>
              <w:t>职务</w:t>
            </w:r>
            <w:r>
              <w:rPr>
                <w:rFonts w:hint="eastAsia" w:ascii="仿宋_GB2312" w:eastAsia="仿宋_GB2312"/>
                <w:b w:val="0"/>
                <w:bCs/>
                <w:color w:val="auto"/>
                <w:sz w:val="24"/>
                <w:szCs w:val="24"/>
                <w:vertAlign w:val="baseline"/>
                <w:lang w:val="en-US" w:eastAsia="zh-CN"/>
              </w:rPr>
              <w:t xml:space="preserve">                      电话： </w:t>
            </w:r>
          </w:p>
        </w:tc>
      </w:tr>
      <w:tr w14:paraId="66B8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459" w:type="dxa"/>
            <w:gridSpan w:val="3"/>
            <w:noWrap w:val="0"/>
            <w:vAlign w:val="center"/>
          </w:tcPr>
          <w:p w14:paraId="1FCE11CD">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审核人签名：</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p w14:paraId="17F9FCF0">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eastAsia="zh-CN"/>
              </w:rPr>
              <w:t>职务</w:t>
            </w:r>
            <w:r>
              <w:rPr>
                <w:rFonts w:hint="eastAsia" w:ascii="仿宋_GB2312" w:eastAsia="仿宋_GB2312"/>
                <w:b w:val="0"/>
                <w:bCs/>
                <w:color w:val="auto"/>
                <w:sz w:val="24"/>
                <w:szCs w:val="24"/>
                <w:vertAlign w:val="baseline"/>
                <w:lang w:val="en-US" w:eastAsia="zh-CN"/>
              </w:rPr>
              <w:t xml:space="preserve">                      电话：</w:t>
            </w:r>
          </w:p>
        </w:tc>
      </w:tr>
      <w:tr w14:paraId="1992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459" w:type="dxa"/>
            <w:gridSpan w:val="3"/>
            <w:noWrap w:val="0"/>
            <w:vAlign w:val="center"/>
          </w:tcPr>
          <w:p w14:paraId="5BE21CFC">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eastAsia="zh-CN"/>
              </w:rPr>
            </w:pPr>
            <w:r>
              <w:rPr>
                <w:rFonts w:hint="eastAsia" w:ascii="仿宋_GB2312" w:eastAsia="仿宋_GB2312"/>
                <w:b w:val="0"/>
                <w:bCs/>
                <w:color w:val="auto"/>
                <w:sz w:val="24"/>
                <w:szCs w:val="24"/>
                <w:vertAlign w:val="baseline"/>
                <w:lang w:eastAsia="zh-CN"/>
              </w:rPr>
              <w:t>批准人签名：</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年</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月</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日</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时</w:t>
            </w:r>
            <w:r>
              <w:rPr>
                <w:rFonts w:hint="eastAsia" w:ascii="仿宋_GB2312" w:eastAsia="仿宋_GB2312"/>
                <w:b w:val="0"/>
                <w:bCs/>
                <w:color w:val="auto"/>
                <w:sz w:val="24"/>
                <w:szCs w:val="24"/>
                <w:vertAlign w:val="baseline"/>
                <w:lang w:val="en-US" w:eastAsia="zh-CN"/>
              </w:rPr>
              <w:t xml:space="preserve">    </w:t>
            </w:r>
            <w:r>
              <w:rPr>
                <w:rFonts w:hint="eastAsia" w:ascii="仿宋_GB2312" w:eastAsia="仿宋_GB2312"/>
                <w:b w:val="0"/>
                <w:bCs/>
                <w:color w:val="auto"/>
                <w:sz w:val="24"/>
                <w:szCs w:val="24"/>
                <w:vertAlign w:val="baseline"/>
                <w:lang w:eastAsia="zh-CN"/>
              </w:rPr>
              <w:t>分</w:t>
            </w:r>
          </w:p>
          <w:p w14:paraId="644E3868">
            <w:pPr>
              <w:pageBreakBefore w:val="0"/>
              <w:kinsoku/>
              <w:wordWrap/>
              <w:overflowPunct/>
              <w:topLinePunct w:val="0"/>
              <w:autoSpaceDE/>
              <w:autoSpaceDN/>
              <w:bidi w:val="0"/>
              <w:adjustRightInd/>
              <w:ind w:left="0" w:leftChars="0" w:firstLine="0" w:firstLineChars="0"/>
              <w:jc w:val="both"/>
              <w:textAlignment w:val="auto"/>
              <w:outlineLvl w:val="9"/>
              <w:rPr>
                <w:rFonts w:hint="eastAsia" w:ascii="仿宋_GB2312" w:eastAsia="仿宋_GB2312"/>
                <w:b w:val="0"/>
                <w:bCs/>
                <w:color w:val="auto"/>
                <w:sz w:val="24"/>
                <w:szCs w:val="24"/>
                <w:vertAlign w:val="baseline"/>
                <w:lang w:val="en-US" w:eastAsia="zh-CN"/>
              </w:rPr>
            </w:pPr>
            <w:r>
              <w:rPr>
                <w:rFonts w:hint="eastAsia" w:ascii="仿宋_GB2312" w:eastAsia="仿宋_GB2312"/>
                <w:b w:val="0"/>
                <w:bCs/>
                <w:color w:val="auto"/>
                <w:sz w:val="24"/>
                <w:szCs w:val="24"/>
                <w:vertAlign w:val="baseline"/>
                <w:lang w:eastAsia="zh-CN"/>
              </w:rPr>
              <w:t>职务</w:t>
            </w:r>
            <w:r>
              <w:rPr>
                <w:rFonts w:hint="eastAsia" w:ascii="仿宋_GB2312" w:eastAsia="仿宋_GB2312"/>
                <w:b w:val="0"/>
                <w:bCs/>
                <w:color w:val="auto"/>
                <w:sz w:val="24"/>
                <w:szCs w:val="24"/>
                <w:vertAlign w:val="baseline"/>
                <w:lang w:val="en-US" w:eastAsia="zh-CN"/>
              </w:rPr>
              <w:t xml:space="preserve">                      电话：</w:t>
            </w:r>
          </w:p>
        </w:tc>
      </w:tr>
    </w:tbl>
    <w:p w14:paraId="351E4CEB">
      <w:pPr>
        <w:sectPr>
          <w:pgSz w:w="11906" w:h="16838"/>
          <w:pgMar w:top="1440" w:right="1800" w:bottom="1440" w:left="1800" w:header="851" w:footer="992" w:gutter="0"/>
          <w:cols w:space="425" w:num="1"/>
          <w:docGrid w:type="lines" w:linePitch="312" w:charSpace="0"/>
        </w:sectPr>
      </w:pPr>
    </w:p>
    <w:p w14:paraId="5385BFD3">
      <w:r>
        <w:drawing>
          <wp:inline distT="0" distB="0" distL="114300" distR="114300">
            <wp:extent cx="5298440" cy="7505700"/>
            <wp:effectExtent l="0" t="0" r="5080" b="7620"/>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pic:cNvPicPr>
                  </pic:nvPicPr>
                  <pic:blipFill>
                    <a:blip r:embed="rId9"/>
                    <a:stretch>
                      <a:fillRect/>
                    </a:stretch>
                  </pic:blipFill>
                  <pic:spPr>
                    <a:xfrm>
                      <a:off x="0" y="0"/>
                      <a:ext cx="5298440" cy="75057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7973">
    <w:pPr>
      <w:pStyle w:val="3"/>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052E629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C9281">
    <w:pPr>
      <w:pStyle w:val="3"/>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67E9979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3AB7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CC9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02523">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AB0BC"/>
    <w:multiLevelType w:val="singleLevel"/>
    <w:tmpl w:val="BFFAB0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OGQzYWNlMWVmNTE1MjQ0NzVhZDEyOWQ5OTkwOWUifQ=="/>
  </w:docVars>
  <w:rsids>
    <w:rsidRoot w:val="76E72E78"/>
    <w:rsid w:val="00111CAE"/>
    <w:rsid w:val="00322703"/>
    <w:rsid w:val="0079539A"/>
    <w:rsid w:val="00983ECC"/>
    <w:rsid w:val="00C71A50"/>
    <w:rsid w:val="00D623FE"/>
    <w:rsid w:val="03CA78E0"/>
    <w:rsid w:val="044A2AC6"/>
    <w:rsid w:val="080D1963"/>
    <w:rsid w:val="09DB206B"/>
    <w:rsid w:val="09EA6AB8"/>
    <w:rsid w:val="0A4330F4"/>
    <w:rsid w:val="0E5C6D08"/>
    <w:rsid w:val="115419FC"/>
    <w:rsid w:val="130B3EB1"/>
    <w:rsid w:val="20114A36"/>
    <w:rsid w:val="22E3490F"/>
    <w:rsid w:val="26066D6F"/>
    <w:rsid w:val="2BA13D4B"/>
    <w:rsid w:val="2C8608B9"/>
    <w:rsid w:val="306E2949"/>
    <w:rsid w:val="35B424CE"/>
    <w:rsid w:val="365D4820"/>
    <w:rsid w:val="37AC5577"/>
    <w:rsid w:val="3C0F3B23"/>
    <w:rsid w:val="3C9368AF"/>
    <w:rsid w:val="43E94E1C"/>
    <w:rsid w:val="466E5384"/>
    <w:rsid w:val="46751CD7"/>
    <w:rsid w:val="48B502F0"/>
    <w:rsid w:val="49B05835"/>
    <w:rsid w:val="4C465964"/>
    <w:rsid w:val="4DB14EDF"/>
    <w:rsid w:val="4F3B623D"/>
    <w:rsid w:val="50C57B0A"/>
    <w:rsid w:val="528F25B4"/>
    <w:rsid w:val="52F41AC7"/>
    <w:rsid w:val="54516841"/>
    <w:rsid w:val="5ABD1678"/>
    <w:rsid w:val="5E70557A"/>
    <w:rsid w:val="6CB801B6"/>
    <w:rsid w:val="6D416946"/>
    <w:rsid w:val="6EB64BEE"/>
    <w:rsid w:val="76E72E78"/>
    <w:rsid w:val="7B4A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uiPriority w:val="0"/>
    <w:pPr>
      <w:ind w:left="420" w:leftChars="200"/>
    </w:pPr>
  </w:style>
  <w:style w:type="paragraph" w:styleId="7">
    <w:name w:val="Normal (Web)"/>
    <w:basedOn w:val="1"/>
    <w:next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8">
    <w:name w:val="Body Text First Indent"/>
    <w:basedOn w:val="2"/>
    <w:autoRedefine/>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正文首行缩进 21"/>
    <w:basedOn w:val="14"/>
    <w:next w:val="7"/>
    <w:autoRedefine/>
    <w:qFormat/>
    <w:uiPriority w:val="0"/>
    <w:pPr>
      <w:widowControl/>
      <w:ind w:left="420" w:firstLine="560" w:firstLineChars="200"/>
      <w:jc w:val="left"/>
    </w:pPr>
    <w:rPr>
      <w:rFonts w:ascii="Times New Roman" w:hAnsi="Times New Roman" w:eastAsia="仿宋"/>
      <w:color w:val="FF0000"/>
      <w:sz w:val="28"/>
      <w:szCs w:val="28"/>
      <w:u w:val="single"/>
    </w:rPr>
  </w:style>
  <w:style w:type="paragraph" w:customStyle="1" w:styleId="14">
    <w:name w:val="正文文本缩进1"/>
    <w:basedOn w:val="1"/>
    <w:autoRedefine/>
    <w:qFormat/>
    <w:uiPriority w:val="0"/>
    <w:pPr>
      <w:ind w:left="200" w:leftChars="200"/>
    </w:pPr>
    <w:rPr>
      <w:rFonts w:ascii="Calibri" w:hAnsi="Calibri"/>
    </w:rPr>
  </w:style>
  <w:style w:type="character" w:customStyle="1" w:styleId="15">
    <w:name w:val="NormalCharacter"/>
    <w:link w:val="16"/>
    <w:autoRedefine/>
    <w:semiHidden/>
    <w:qFormat/>
    <w:locked/>
    <w:uiPriority w:val="99"/>
    <w:rPr>
      <w:rFonts w:ascii="Times New Roman" w:hAnsi="Times New Roman"/>
      <w:kern w:val="0"/>
      <w:sz w:val="20"/>
      <w:szCs w:val="20"/>
    </w:rPr>
  </w:style>
  <w:style w:type="paragraph" w:customStyle="1" w:styleId="16">
    <w:name w:val="UserStyle_9"/>
    <w:basedOn w:val="1"/>
    <w:link w:val="15"/>
    <w:autoRedefine/>
    <w:qFormat/>
    <w:uiPriority w:val="99"/>
    <w:rPr>
      <w:kern w:val="0"/>
      <w:sz w:val="20"/>
      <w:szCs w:val="20"/>
    </w:rPr>
  </w:style>
  <w:style w:type="paragraph" w:customStyle="1" w:styleId="17">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8">
    <w:name w:val="font51"/>
    <w:basedOn w:val="11"/>
    <w:autoRedefine/>
    <w:qFormat/>
    <w:uiPriority w:val="0"/>
    <w:rPr>
      <w:rFonts w:ascii="新宋体" w:hAnsi="新宋体" w:eastAsia="新宋体" w:cs="新宋体"/>
      <w:color w:val="000000"/>
      <w:sz w:val="20"/>
      <w:szCs w:val="20"/>
      <w:u w:val="none"/>
    </w:rPr>
  </w:style>
  <w:style w:type="character" w:customStyle="1" w:styleId="19">
    <w:name w:val="font01"/>
    <w:basedOn w:val="11"/>
    <w:autoRedefine/>
    <w:qFormat/>
    <w:uiPriority w:val="0"/>
    <w:rPr>
      <w:rFonts w:hint="default" w:ascii="仿宋_GB2312" w:eastAsia="仿宋_GB2312" w:cs="仿宋_GB2312"/>
      <w:color w:val="000000"/>
      <w:sz w:val="20"/>
      <w:szCs w:val="20"/>
      <w:u w:val="none"/>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8235</Words>
  <Characters>8482</Characters>
  <Lines>76</Lines>
  <Paragraphs>21</Paragraphs>
  <TotalTime>10</TotalTime>
  <ScaleCrop>false</ScaleCrop>
  <LinksUpToDate>false</LinksUpToDate>
  <CharactersWithSpaces>8697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2024-10-11T13:13:00Z</dcterms:created>
  <dc:creator>星夜魔君</dc:creator>
  <cp:lastModifiedBy>成</cp:lastModifiedBy>
  <dcterms:modified xsi:type="dcterms:W3CDTF">2025-01-08T07:57:29Z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080413AE53C647BE913AC6D365B182A8_13</vt:lpwstr>
  </property>
  <property fmtid="{D5CDD505-2E9C-101B-9397-08002B2CF9AE}" pid="4" name="KSOTemplateDocerSaveRecord">
    <vt:lpwstr>eyJoZGlkIjoiNWRhZTY3NGM0ZDg3ODk3NjQ3YjJjNDU4OTVlNDAwZjIiLCJ1c2VySWQiOiIxMTQ5OTg3NTc2In0=</vt:lpwstr>
  </property>
</Properties>
</file>