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textAlignment w:val="auto"/>
        <w:rPr>
          <w:rFonts w:ascii="黑体" w:eastAsia="黑体" w:cs="黑体" w:hint="eastAsia"/>
          <w:i w:val="0"/>
          <w:iCs w:val="0"/>
          <w:caps w:val="0"/>
          <w:small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auto"/>
        </w:rPr>
      </w:pPr>
      <w:r>
        <w:rPr>
          <w:rFonts w:ascii="黑体" w:eastAsia="黑体" w:cs="黑体" w:hint="eastAsia"/>
          <w:i w:val="0"/>
          <w:iCs w:val="0"/>
          <w:caps w:val="0"/>
          <w:small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auto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color w:val="333333"/>
          <w:spacing w:val="0"/>
          <w:kern w:val="0"/>
          <w:sz w:val="44"/>
          <w:szCs w:val="44"/>
          <w:shd w:val="clear" w:color="auto" w:fill="auto"/>
          <w:lang w:val="en-US" w:eastAsia="zh-CN"/>
          <w:highlight w:val="auto"/>
        </w:rPr>
      </w:pP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/>
          <w:highlight w:val="auto"/>
        </w:rPr>
        <w:t>文水县2024年度教师“团圆计划”</w:t>
      </w: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color w:val="333333"/>
          <w:spacing w:val="0"/>
          <w:kern w:val="0"/>
          <w:sz w:val="44"/>
          <w:szCs w:val="44"/>
          <w:shd w:val="clear" w:color="auto" w:fill="auto"/>
          <w:lang w:val="en-US" w:eastAsia="zh-CN"/>
          <w:highlight w:val="auto"/>
        </w:rPr>
        <w:t>工作领导组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为保证教师“团圆计划”工作顺利进行，特成立文水县2024年度教师“团圆计划”工作领导组：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left="0"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组  长：王金钟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pacing w:val="-2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 xml:space="preserve">成  员：马  飞  </w:t>
      </w:r>
      <w:r>
        <w:rPr>
          <w:rFonts w:ascii="仿宋_GB2312" w:eastAsia="仿宋_GB2312" w:cs="仿宋_GB2312" w:hint="eastAsia"/>
          <w:spacing w:val="-20"/>
          <w:sz w:val="32"/>
          <w:szCs w:val="32"/>
          <w:lang w:val="en-US" w:eastAsia="zh-CN"/>
          <w:highlight w:val="auto"/>
        </w:rPr>
        <w:t>县纪委主持日常工作的副书记、监委副主任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Chars="600" w:firstLine="192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燕晋强  县委组织部副部长、编办主任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Chars="600" w:firstLine="192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lang w:val="en-US" w:eastAsia="zh-CN" w:bidi="ar-SA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马智勇  县委组织部副部长、党建综合中心主任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left="0" w:firstLineChars="600" w:firstLine="1920"/>
        <w:textAlignment w:val="auto"/>
        <w:rPr>
          <w:rFonts w:ascii="仿宋_GB2312" w:eastAsia="仿宋_GB2312" w:cs="仿宋_GB2312" w:hint="eastAsia"/>
          <w:kern w:val="2"/>
          <w:sz w:val="32"/>
          <w:szCs w:val="32"/>
          <w:lang w:val="en-US" w:eastAsia="zh-CN" w:bidi="ar-SA"/>
          <w:highlight w:val="auto"/>
        </w:rPr>
      </w:pPr>
      <w:r>
        <w:rPr>
          <w:rFonts w:ascii="仿宋_GB2312" w:eastAsia="仿宋_GB2312" w:cs="仿宋_GB2312" w:hint="eastAsia"/>
          <w:kern w:val="2"/>
          <w:sz w:val="32"/>
          <w:szCs w:val="32"/>
          <w:lang w:val="en-US" w:eastAsia="zh-CN" w:bidi="ar-SA"/>
          <w:highlight w:val="auto"/>
        </w:rPr>
        <w:t>邢俊杰  县委宣传部副部长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Chars="600" w:firstLine="192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邢长明  教科局局长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Chars="600" w:firstLine="192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张玉和  人社局局长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left="0" w:firstLineChars="200" w:firstLine="640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  <w:highlight w:val="auto"/>
        </w:rPr>
        <w:t>领导组下设办公室，办公室设在教科局，办公室主任由邢长明同志兼任。办公室成员根据工作需要由相关部门人员组成。教师回乡工作程序中每个环节都应及时向领导组汇报相关情况，经领导组研究指示后开展下一个环节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46">
    <w:name w:val="table of authorities"/>
    <w:next w:val="0"/>
    <w:pPr>
      <w:widowControl w:val="0"/>
      <w:spacing w:before="100" w:beforeAutospacing="1" w:after="100" w:afterAutospacing="1"/>
      <w:ind w:leftChars="200" w:left="2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257</Words>
  <Characters>263</Characters>
  <Lines>19</Lines>
  <Paragraphs>11</Paragraphs>
  <CharactersWithSpaces>283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greatwall</cp:lastModifiedBy>
  <cp:revision>1</cp:revision>
  <dcterms:created xsi:type="dcterms:W3CDTF">2020-05-08T06:11:00Z</dcterms:created>
  <dcterms:modified xsi:type="dcterms:W3CDTF">2024-03-05T07:53:31Z</dcterms:modified>
</cp:coreProperties>
</file>