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93" w:type="dxa"/>
        <w:tblW w:w="14081"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597"/>
        <w:gridCol w:w="360"/>
        <w:gridCol w:w="780"/>
        <w:gridCol w:w="8205"/>
        <w:gridCol w:w="1755"/>
        <w:gridCol w:w="1250"/>
        <w:gridCol w:w="764"/>
        <w:gridCol w:w="370"/>
      </w:tblGrid>
      <w:tr>
        <w:trPr>
          <w:trHeight w:val="510"/>
        </w:trPr>
        <w:tc>
          <w:tcPr>
            <w:tcW w:w="14081"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both"/>
              <w:textAlignment w:val="center"/>
              <w:rPr>
                <w:rFonts w:ascii="黑体" w:eastAsia="黑体" w:cs="黑体" w:hint="eastAsia"/>
                <w:i w:val="0"/>
                <w:iCs w:val="0"/>
                <w:color w:val="000000"/>
                <w:kern w:val="0"/>
                <w:sz w:val="32"/>
                <w:szCs w:val="32"/>
                <w:u w:val="none"/>
                <w:lang w:val="en-US" w:eastAsia="zh-CN"/>
              </w:rPr>
            </w:pPr>
            <w:bookmarkStart w:id="0" w:name="_GoBack"/>
            <w:bookmarkEnd w:id="0"/>
            <w:r>
              <w:rPr>
                <w:rFonts w:ascii="黑体" w:eastAsia="黑体" w:cs="黑体" w:hint="eastAsia"/>
                <w:i w:val="0"/>
                <w:iCs w:val="0"/>
                <w:color w:val="000000"/>
                <w:kern w:val="0"/>
                <w:sz w:val="32"/>
                <w:szCs w:val="32"/>
                <w:u w:val="none"/>
                <w:lang w:val="en-US" w:eastAsia="zh-CN"/>
              </w:rPr>
              <w:t>附件</w:t>
            </w:r>
          </w:p>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i w:val="0"/>
                <w:iCs w:val="0"/>
                <w:color w:val="000000"/>
                <w:sz w:val="40"/>
                <w:szCs w:val="40"/>
                <w:u w:val="none"/>
              </w:rPr>
            </w:pPr>
            <w:r>
              <w:rPr>
                <w:rFonts w:ascii="方正小标宋简体" w:eastAsia="方正小标宋简体" w:cs="方正小标宋简体" w:hint="eastAsia"/>
                <w:i w:val="0"/>
                <w:iCs w:val="0"/>
                <w:color w:val="000000"/>
                <w:kern w:val="0"/>
                <w:sz w:val="44"/>
                <w:szCs w:val="44"/>
                <w:u w:val="none"/>
                <w:lang w:val="en-US" w:eastAsia="zh-CN"/>
              </w:rPr>
              <w:t>文水县落实空气质量持续改善行动计划工作措施分工表</w:t>
            </w:r>
          </w:p>
        </w:tc>
      </w:tr>
      <w:tr>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序号</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b/>
                <w:bCs/>
                <w:i w:val="0"/>
                <w:iCs w:val="0"/>
                <w:color w:val="000000"/>
                <w:sz w:val="24"/>
                <w:szCs w:val="24"/>
                <w:u w:val="none"/>
              </w:rPr>
            </w:pPr>
            <w:r>
              <w:rPr>
                <w:rFonts w:ascii="黑体" w:eastAsia="黑体" w:cs="黑体" w:hint="eastAsia"/>
                <w:b/>
                <w:bCs/>
                <w:i w:val="0"/>
                <w:iCs w:val="0"/>
                <w:color w:val="000000"/>
                <w:kern w:val="0"/>
                <w:sz w:val="24"/>
                <w:szCs w:val="24"/>
                <w:u w:val="none"/>
                <w:lang w:val="en-US" w:eastAsia="zh-CN"/>
              </w:rPr>
              <w:t>重点任务</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b/>
                <w:bCs/>
                <w:i w:val="0"/>
                <w:iCs w:val="0"/>
                <w:color w:val="000000"/>
                <w:sz w:val="24"/>
                <w:szCs w:val="24"/>
                <w:u w:val="none"/>
              </w:rPr>
            </w:pPr>
            <w:r>
              <w:rPr>
                <w:rFonts w:ascii="黑体" w:eastAsia="黑体" w:cs="黑体" w:hint="eastAsia"/>
                <w:b/>
                <w:bCs/>
                <w:i w:val="0"/>
                <w:iCs w:val="0"/>
                <w:color w:val="000000"/>
                <w:kern w:val="0"/>
                <w:sz w:val="24"/>
                <w:szCs w:val="24"/>
                <w:u w:val="none"/>
                <w:lang w:val="en-US" w:eastAsia="zh-CN"/>
              </w:rPr>
              <w:t>工作措施</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牵头单位</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配合单位</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完成时限</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autoSpaceDE/>
              <w:autoSpaceDN/>
              <w:bidi w:val="0"/>
              <w:spacing w:line="578" w:lineRule="exact"/>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备注</w:t>
            </w:r>
          </w:p>
        </w:tc>
      </w:tr>
      <w:tr>
        <w:trPr>
          <w:trHeight w:val="8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产业结构优化调整</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坚决遏制“两高”项目盲目发展</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新、改、扩建项目严格落实遏制“两高一低”项目盲目发展等有关政策规定要求，原则上采用清洁运输方式。</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开发区</w:t>
            </w:r>
            <w:r>
              <w:rPr>
                <w:rFonts w:ascii="宋体" w:eastAsia="宋体" w:cs="宋体" w:hint="eastAsia"/>
                <w:i w:val="0"/>
                <w:iCs w:val="0"/>
                <w:color w:val="000000"/>
                <w:kern w:val="0"/>
                <w:sz w:val="21"/>
                <w:szCs w:val="21"/>
                <w:u w:val="none"/>
                <w:lang w:val="en-US" w:eastAsia="zh-CN"/>
              </w:rPr>
              <w:t>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涉及产能置换的项目（煤电项目除外），被置换产能及其配套设施关停后，新建项目方可投产。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20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区域内钢铁、焦化、水泥熟料等重点行业严格落实国家及我省产能置换政策，煤耗、污染物排放指标须在太原盆地区域内按比例置换解决。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工科局、能源局、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w:t>
            </w:r>
            <w:r>
              <w:rPr>
                <w:rFonts w:ascii="宋体" w:eastAsia="宋体" w:cs="宋体"/>
                <w:i w:val="0"/>
                <w:iCs w:val="0"/>
                <w:color w:val="000000"/>
                <w:kern w:val="0"/>
                <w:sz w:val="21"/>
                <w:szCs w:val="21"/>
                <w:u w:val="none"/>
                <w:lang w:eastAsia="zh-CN"/>
              </w:rPr>
              <w:t>局文水分</w:t>
            </w:r>
            <w:r>
              <w:rPr>
                <w:rFonts w:ascii="宋体" w:eastAsia="宋体" w:cs="宋体" w:hint="eastAsia"/>
                <w:i w:val="0"/>
                <w:iCs w:val="0"/>
                <w:color w:val="000000"/>
                <w:kern w:val="0"/>
                <w:sz w:val="21"/>
                <w:szCs w:val="21"/>
                <w:u w:val="none"/>
                <w:lang w:val="en-US" w:eastAsia="zh-CN"/>
              </w:rPr>
              <w:t>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推进重点行业优化升级</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鼓励吕梁建龙实业有限公司转型发展电炉短流程炼钢。</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全面提升山西金鹏绿色能源发展有限公司节能环保安全水平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、应急局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72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新、改、扩建涉气重点项目应达到环保绩效A级或绩效引领性水平。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开发区</w:t>
            </w:r>
            <w:r>
              <w:rPr>
                <w:rFonts w:ascii="宋体" w:eastAsia="宋体" w:cs="宋体" w:hint="eastAsia"/>
                <w:i w:val="0"/>
                <w:iCs w:val="0"/>
                <w:color w:val="000000"/>
                <w:kern w:val="0"/>
                <w:sz w:val="21"/>
                <w:szCs w:val="21"/>
                <w:u w:val="none"/>
                <w:lang w:val="en-US" w:eastAsia="zh-CN"/>
              </w:rPr>
              <w:t>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有序淘汰30万千瓦以下燃煤机组，提高先进燃煤机组占比。</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持续推进煤炭洗选行业产业升级，不断提升洗选企业标准化管理水平。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加快重点行业落后产能淘汰</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以生态环境承载能力为基础，加强区域重大建设项目布局统筹，调整优化不符合生态环境功能定位的产业布局、规模和结构。</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鼓励位于县城建成区的钢铁、焦化、水泥、发电、铁合金、化工等重污染企业搬迁退出。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2025年3月底前，关停辖区内15MW以下的燃煤机组。</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率先淘汰退出吕梁建龙公司1200立方米以下高炉、100吨以下转炉、100吨以下电炉（合金钢50吨）等限制类工艺装备。</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2024年10月底前，全面淘汰退出辖区内步进式烧结机和球团竖炉。</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开展6户砖瓦窑行业综合整治，2024年12月底前，达到B级及以上或引领性环保绩效等级，达不到的实施停产整治。</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2024年12月底前</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推进传统产业集群绿色发展</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制定涉气产业集群发展规划和特色产业集群综合整治方案，严格项目审批，严防污染下乡进村，要结合产业集群特点，因地制宜建设集中供热中心、集中喷涂中心、有机溶剂集中回收处置中心、活性炭集中再生中心。</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推进铸造特色产业集群升级改造</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强化涉VOCs材料源头管控</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严格控制生产和使用高VOCs含量涂料、油墨、胶粘剂、清洗剂等建设项目。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大力推进工业涂装、包装印刷、电子等行业企业低（无）VOCs含量原辅材料的源头替代。</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在房屋建筑和市政工程中，全面推广使用低（无）VOCs含量涂料和胶粘剂；推动除特殊功能要求外的室内地坪施工、室外构筑物防护和道路交通标志喷涂使用低（无）VOCs含量涂料。</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交警大队</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在生产、销售、进口、使用等环节严格执行VOCs含量限值标准。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市场监管局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推动绿色环保产业健康发展。</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加大政策支持力度，在低（无）VOCs含量原辅材料生产和使用、超低排放等领域支持培育标杆企业，引导企业在环境治理、管理方面对标先进，带动全行业环境治理和管理水平提升。</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加大环保领域低价低质中标乱象治理力度，推动产业健康有序发展。</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市场监管局、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重点行业企业环保绩效等级评价“创A升B”行动</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推动全县钢铁、焦化、水泥、铸造等重点行业企业开展环保绩效“创A升B”行动。严格落实差异化管控政策，充分应用绩效分级成果，全面提升工业企业环保绩效水平。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2024年12月底前，县城建成区及工业园区内</w:t>
            </w:r>
            <w:r>
              <w:rPr>
                <w:rFonts w:ascii="宋体" w:eastAsia="宋体" w:cs="宋体" w:hint="eastAsia"/>
                <w:color w:val="000000"/>
                <w:sz w:val="21"/>
                <w:szCs w:val="21"/>
                <w:u w:val="none"/>
                <w:lang w:val="en-US" w:eastAsia="zh-CN"/>
              </w:rPr>
              <w:t>22户重点行业企业要力争全部达到B级及以上或引领性环保绩效等级；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2025年12月底前，辖区内80%以上重点行业企业达到B级及以上或引领性环保绩效等级。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62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开展“散乱污”企业综合整治</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各乡镇人民政府和开发区管委会要持续开展散乱污企业综合治理专项行动，开展“散乱污”企业拉网式排查，建立“散乱污”企业动态管理清单，实行网格化管理，严格分类处置。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各乡镇人民政府</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、发改局、能源局、自然资源局、市场监管局、应急局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推动焦化行业高质量发展</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山西金鹏绿色能源发展有限公司要通过建设备用设施或多仓室改造等措施有效减少治理设施检修时污染物排放。</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以化产加工高端延伸和企业综合管理水平提升为目标，增强企业核心竞争力。以节能技术改造、超低排放改造和安全生产标准化改造为抓手，提高产业绿色发展和安全生产水平。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、能源局、应急局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29</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能源结构优化调整</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提高新能源和清洁能源消费比重</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到2025年，完成市下达非化石能源消费比重要求</w:t>
            </w:r>
            <w:r>
              <w:rPr>
                <w:rFonts w:ascii="仿宋_GB2312" w:eastAsia="仿宋_GB2312" w:cs="仿宋_GB2312" w:hint="eastAsia"/>
                <w:color w:val="auto"/>
                <w:sz w:val="32"/>
                <w:szCs w:val="32"/>
              </w:rPr>
              <w:t>。</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增加天然气生产供应，新增天然气优先保障居民生活和清洁取暖需求。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严格控制煤炭消费总量</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到2025年底，完成市下达的全社会煤炭消费总量控制目标，以及规模以上工业煤炭消费总量控制目标，重点削减非电力用煤。</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全县新、改、扩建用煤项目，依法实行煤炭减量替代，替代方案不完善的不予审批；不得将使用石油焦、焦炭、兰炭等高污染燃料作为煤炭减量替代措施。</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全县原则上不再新增自备燃煤机组，支持自备燃煤机组实施清洁能源替代。</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72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推进燃煤锅炉关停整合</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原则上不再新建除集中供暖外的燃煤锅炉</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35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对35蒸吨/小时及以下燃煤锅炉及散煤取暖、茶水炉、经营性炉灶、储粮烘干设备、农产品加工等燃煤设施进行动态清零。</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各乡镇人民政府</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住建局、市场监管局、农业农村局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对供热半径30公里范围内的落后燃煤小热电机组（含自备电厂）进行关停或整合。</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实施工业炉窑清洁能源替代</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2025年12月底前，全面完成耐火材料、陶瓷（除水煤浆炉）、铸造、锻造和压延、炭黑、炭素、氧化铝、平板玻璃、玻璃制品、岩矿棉等行业工业炉窑清洁能源替代。</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不再新增燃料类煤气发生炉，新、改、扩建加热炉、热处理炉、干燥炉、熔化炉原则上采用清洁低碳能源</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39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充分利用工业余热、电厂热力、可再生能源、天然气、煤层气、脱硫后焦炉煤气等清洁低碳能源替代使用高污染燃料的工业炉窑；</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工科局、能源局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采取园区（集群）集中供气、分散使用等方式，推进燃料类煤气发生炉清洁能源替代</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工科局、能源局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持续推进清洁取暖改造</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加快完成中部城市群清洁取暖改造工程剩余任务</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全面摸清海拔900米以下区域散煤取暖状况，制定散煤清零方案，2025年10月底前基本实现海拔900米以下区域散煤清零。</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相关乡镇人民政府</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2025年10月底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坚持保障用能，持续增强煤炭、电力、天然气等能源供应能力，保障清洁取暖用能。</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坚持持续可行，以农村清洁取暖为重点，加快完善清洁取暖长效机制。</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开展农用领域散煤使用情况排查，有序推进农业种植和养殖散煤清洁能源替代。</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农业农村局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落实新建建筑节能要求，稳步做好既有建筑节能改造，加快既有农房节能改造。</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依法将整体完成清洁取暖改造的地区划定为高污染燃料禁燃区和“禁煤区”，严防散煤复烧。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对清洁取暖未覆盖的区域，强化民用散煤质量监管。</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市场监管局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49</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交通结构优化调整</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提高货物铁路运输比例</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积极推进“公转铁”，推动大型工矿企业中长距离运输（运距500公里以上）的出省煤炭和焦炭基本采用铁路运输，短距离运输优先采用封闭式皮带廊道或新能源车辆。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开展铁路场站适货化改造。新建及迁建大宗货物年运量150万吨以上的物流园区、工矿企业和储煤基地，原则上接入铁路专用线或管道。</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强化项目用地选址选线、验收投运、运力调配、铁路运价等措施保障。</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发改局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加快机动车结构升级</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新增和更新城市公交车、出租车（网约车）优先使用新能源汽车。</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大县城建成区和园区内公交、出租、环卫、邮政快递等公共领域车辆以及区域内钢铁、火电、焦化、煤炭、煤化工、建材等重点行业和物流园区短驳运输、厂内运输车辆新能源及清洁能源替代（含电动、氢能、甲醇汽车）力度</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园区内钢铁、焦化、水泥、火电企业采用清洁能源或新能源运输比例在2024年底前力争达到60%，2025年底前力争达到80%。</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交警大队</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科学制定县城建成区及周边中重型货车通行路线。</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righ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推动国四及以下排放标准柴油货车和采用稀薄燃烧技术的燃气货车淘汰。</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2025年12月底前，公共领域车辆基本实现使用新能源及清洁能源车辆，积极培育清洁运输企业。</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加强重型货车路检路查和入户检查</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交通局、交警大队</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59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强化对年检机构的监管执法</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强化非道路移动源综合治理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严格落实非道路移动机械编码登记、使用备案管理制度</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及时修订并公布非道路移动机械排放控制区，强化非道路移动机械排放控制区执法管控。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加快推进铁路货场、物流园区、工矿企业内部作业车辆和机械新能源更新改造。</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2025年12月底前基本消除非道路移动机械“冒黑烟”现象，基本淘汰第一阶段及以下排放标准的非道路移动机械。</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全面加强油品储运销监管</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组织中石油、中石化等油品储运销售单位科学合理制定油品装卸运输计划和差异化油价优惠政策，在保障安全的前提下避开夏季高温时段（6-9月晴朗天气下每日10-17时）进行油品运输装卸作业，鼓励引导公众在夏季高温时段错峰加油。</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商务局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加强油品销售企业监管，提升货车、非道路移动机械油箱中柴油抽测频次，严禁使用不符合国六标准的车用汽柴油，对发现的非标油问题线索进行溯源，严厉追究相关生产、销售、运输者主体责任。</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市场监管局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组织开展自建油罐、流动加油罐车和黑加油站点专项整治，坚决打击将非标油品作为发动机燃料销售等行为。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市场监管局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67</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全面加强面源污染治理</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深化施工工地扬尘污染综合治理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常态化开展扬尘专项整治，严格落实“六个百分百”要求，推行“阳光施工”“阳光运输”，减少夜间施工和运输。</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到2025年，装配式建筑占新建建筑面积比例达30%。</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69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强化施工工地扬尘监管，5000平方米及以上建筑工地安装视频监控并接入当地监管平台。</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加强道路清扫保洁</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到2025年底前，县城建成区道路机械化清扫率达70%左右。</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环卫中心</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建成区道路清扫保洁，全面落实国道、省道、县乡道路保洁措施，积极开展工业集聚区和重点工矿企业周边道路扬尘治理，定期进行机械化清扫。重污染天气应急期间，根据空气质量变化情况增加抑尘或者降尘措施频次。</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开展渣土运输整治</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依法严查渣土运输车辆未按规定时间和路线行驶、沿途抛洒、随意倾倒等行为。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交警大队</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密闭不严、车轮带泥的车辆，一律不得驶出施工工地。不符合要求上路行驶的建筑渣土车辆，一经查处取消建筑渣土运输资格。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新增建筑渣土运输车辆使用新能源车辆。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行政审批局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开展裸露地块整治</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加强对县政道路、背街小巷等地段的砂堆、渣堆、煤堆、土堆、垃圾堆等“五堆”清理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凤城镇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对短期内不能开工建设的建设用地实施覆盖或绿化、铺装、遮盖，消除裸露地面扬尘污染</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水利局、交通局、自然资源局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强化工业企业无组织排放治理。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强化工业企业物料运输、装卸、转移、存储和工艺过程无组织排放全过程扬尘管控，重点企业安装视频监控系统。</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推进矿山生态环境综合整治</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开展露天矿山扬尘污染问题排查整治，做好扬尘污染防治工作。</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自然资源局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水利局、</w:t>
            </w: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、应急局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加强秸秆综合利用和禁烧</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全面推进秸秆综合利用和禁止露天焚烧工作，秸秆综合利用率达90％以上。</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农业农村局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各乡镇人民政府</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加强烟花爆竹禁燃禁放监管力度</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建立定期巡检工作机制，把检查烟花爆竹售卖、情况作为日常巡查监管重要内容，依法查处违规运输、存储、销售等行为。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应急局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交警大队</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建立定期巡检工作机制，把检查烟花爆竹燃放情况作为日常巡查监管重要内容，依法查处违规燃放等行为。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公安局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82</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强化多污染物协同减排</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强化工业园区环境污染综合治理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按照《推进重点工业园区环境污染综合治理攻坚行动方案》（晋环委办发〔2024〕3号）等文件规定，全面加强园区环境综合整治。</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、发改局、工科局、交通局、商务局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2025年底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推动高污染企业迁入合规园区，落实生态敏感脆弱区工业行业污染物特别排放限值要求。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强化VOCs全流程、全环节综合治理</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推进加油站、储油库开展三次油气回收治理。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商务局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开展涉VOCs作业错时施工，每年6-9月晴朗天气下每日10-17时，禁止在建成区内开展墙体喷涂、围栏喷（刷）油漆及切割焊接等易产生挥发性有机物废气的户外施工作业</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除采用低VOCs的涂料喷涂、划线作业外，禁止道路沥青铺设和涂料划线作业</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鼓励储罐使用低泄漏的呼吸阀、紧急泄压阀，定期开展密封性检测</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汽车罐车推广使用密封式快速接头</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89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污水处理场所高浓度有机废气要单独收集处理；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含VOCs有机废水储罐、装置区集水井（池）有机废气要密闭收集处理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化工企业规范开展泄漏检测与修复。</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企业开停工、检维修期间，及时收集处理退料、清洗、吹扫等作业产生的VOCs废气。</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企业不得将火炬燃烧装置作为日常大气污染处理设施。</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加快重点行业污染深度治理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国金电力、振兴化肥开展深度治理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能源局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时序推进</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2024年10月底前，钢铁、焦化、水泥等重点行业企业按照国家、省要求全面完成超低排放评估监测，经评估监测确定全面达到超低排放的企业，按程序公示后开展重污染天气应急减排A级、B级或引领性绩效评级。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2024年10月底完成超低验收</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全面开展锅炉和工业炉窑简易低效污染治理设施排查，通过清洁能源替代、升级改造、整合退出等方式实施分类处置。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开展燃气锅炉低氮燃烧改造“回头看”，推进燃气锅炉全面稳定达到低氮排放要求。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加大生物质锅炉排放监管力度，推进整合小型生物质锅炉。</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99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生物质锅炉采用专用锅炉，配套布袋等高效除尘设施，禁止掺烧煤炭、生活垃圾等其他物料。</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强化治污设施运行维护，减少非正常工况排放。</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重点涉气企业取消烟气和含VOCs废气旁路，因安全生产需要无法取消的，安装在线监控系统及备用处置设施。</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推进餐饮油烟综合治理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2024年7月底前，除新安装的净化设施外，其余的油烟净化设施要完成一次清洗维护，以后每季度至少清洗一次，同时做好维护、更换、清洗等相关台账记录，减少餐饮油烟污染。</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2024年7月底前</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严格居民楼附近餐饮服务单位布局管理，拟开设餐饮服务单位的建筑应设计建设专用烟道。</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对所有油烟净化设施情况进行拉网排查，已安装设施的要确保正常使用，达不到去除效率的进行设备更换，未安装的责令经营单位限期安装，拒不整改的要依法依规进行处罚并责令停业整顿。</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加强恶臭异味污染治理</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开展恶臭异味扰民问题排查整治，群众反映强烈、投诉集中的工业园区、重点企业要安装运行在线监测系统。</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加强部门联动，因地制宜解决人民群众反映集中的恶臭异味扰民问题。</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r>
              <w:rPr>
                <w:rFonts w:ascii="宋体" w:eastAsia="宋体" w:cs="宋体" w:hint="eastAsia"/>
                <w:i w:val="0"/>
                <w:iCs w:val="0"/>
                <w:color w:val="000000"/>
                <w:kern w:val="0"/>
                <w:sz w:val="21"/>
                <w:szCs w:val="21"/>
                <w:u w:val="none"/>
                <w:lang w:val="en-US" w:eastAsia="zh-CN"/>
              </w:rPr>
              <w:t>住建局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107</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稳步推进大气氨排放控制</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推广氮肥机械深施和低蛋白日粮技术。</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农业农村局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加强畜禽养殖场氨气等臭气治理，鼓励生猪、鸡等圈舍封闭管理，支持粪污输送、存储及处理设施封闭，加强废气收集和处理。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农业农村局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109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加强氮肥、纯碱等行业大气氨排放治理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110</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强化工业源烟气脱硫脱硝氨逃逸防控，重点企业安装氨逃逸监测设备并联网。</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111</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协同推动省会太原空气质量提升</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优化调整产业结构</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不再新增独立焦化项目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推动位于建成区的钢铁、焦化、水泥、煤电、铁合金、化工等重污染企业搬迁退出。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工科局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加快提升货物清洁运输比例，清洁运输比例力争达到相关要求。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交通局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62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114</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实施企业污染物排放标准和总量双控。</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11月1日起，辖区内钢铁、焦化、煤电行业企业按照本行业污染深度治理要求核定排污许可总量，位于县城建成区的其他重点行业企业按照本行业A级或引领性绩效等级排放浓度限值核定排污许可总量，县城建成区以外的其他重点行业企业按照本行业 B级或引领性绩效等级排放浓度限值核定许可排污总量。</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115</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总量指标及相关管理要求载入排污许可证，实行严格监管。</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2024年10月底</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08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116</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开展低效治理技术升级改造</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以铸造、石灰、砖瓦、煤化工、无机化工、化肥、有色等行业为重点，对低效治理工艺的工业企业进行全面排查，建立清单台账，实施分类整治，2024年12月底前，对未完成低效治理工艺升级改造的工业企业实施停产整治。</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2024年你2月</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117</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健全大气环境管理机制</w:t>
            </w: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实施城市空气质量达标管理。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编制实施大气环境质量限期达标规划，2025年，PM2.5浓度力争控制在40微克/立方米以下。</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righ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118</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完善区域大气污染联防联控机制</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常态化开展区域交叉执法和部门联合执法，执行区域内统一的环境执法尺度、重污染天气预警和应急减排措施标准。</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135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119</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完善重污染天气应对机制</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规范应急减排清单修订，科学合理制定重点行业企业“一厂一策”差异化管控措施，把重污染天气应急减排措施中对排污单位的总量控制指标和排放控制要求在排污许可证中予以载明，确保应急减排清单覆盖所有纳入排污许可管理的涉气企业。</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开发</w:t>
            </w:r>
            <w:r>
              <w:rPr>
                <w:rFonts w:ascii="宋体" w:eastAsia="宋体" w:cs="宋体" w:hint="eastAsia"/>
                <w:i w:val="0"/>
                <w:iCs w:val="0"/>
                <w:color w:val="000000"/>
                <w:kern w:val="0"/>
                <w:sz w:val="21"/>
                <w:szCs w:val="21"/>
                <w:u w:val="none"/>
                <w:lang w:val="en-US" w:eastAsia="zh-CN"/>
              </w:rPr>
              <w:t>区管委会、县行政审批局</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righ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285"/>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120</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加强环境监管能力建设</w:t>
            </w:r>
          </w:p>
        </w:tc>
        <w:tc>
          <w:tcPr>
            <w:tcW w:w="780" w:type="dxa"/>
            <w:vMerge w:val="restar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完善大气环境监测监控体系</w:t>
            </w:r>
          </w:p>
        </w:tc>
        <w:tc>
          <w:tcPr>
            <w:tcW w:w="8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建设气溶胶激光雷达，强化沙尘天气监测能力。</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righ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2024年12月</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121</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vMerge/>
            <w:tcBorders>
              <w:top w:val="single" w:sz="4" w:space="0" w:color="000000"/>
              <w:left w:val="nil"/>
              <w:bottom w:val="single" w:sz="4" w:space="0" w:color="000000"/>
              <w:right w:val="single" w:sz="4" w:space="0" w:color="000000"/>
            </w:tcBorders>
            <w:shd w:val="clear" w:color="auto" w:fill="auto"/>
            <w:noWrap/>
            <w:vAlign w:val="center"/>
          </w:tcP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加快推进企业安装工况监控、用电（用能）监控、视频监控等，扩大工业污染源自动监控覆盖面。</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54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122</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强化大气环境监管执法</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坚持铁腕治污，严厉打击偷排偷放、超标排放、自行监测数据弄虚作假、不正常运行治理设施等环境违法行为。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r>
        <w:trPr>
          <w:trHeight w:val="810"/>
        </w:trPr>
        <w:tc>
          <w:tcPr>
            <w:tcW w:w="597" w:type="dxa"/>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123</w:t>
            </w: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80" w:type="dxa"/>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加强决策科技支撑</w:t>
            </w:r>
          </w:p>
        </w:tc>
        <w:tc>
          <w:tcPr>
            <w:tcW w:w="8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积极与优秀专家团队开展合作，加强颗粒物与臭氧协同控制、VOCs与氮氧化物协同减排、减污降碳协同增效等方面研究。</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i w:val="0"/>
                <w:iCs w:val="0"/>
                <w:color w:val="000000"/>
                <w:kern w:val="0"/>
                <w:sz w:val="21"/>
                <w:szCs w:val="21"/>
                <w:u w:val="none"/>
                <w:lang w:eastAsia="zh-CN"/>
              </w:rPr>
              <w:t>市</w:t>
            </w:r>
            <w:r>
              <w:rPr>
                <w:rFonts w:ascii="宋体" w:eastAsia="宋体" w:cs="宋体" w:hint="eastAsia"/>
                <w:i w:val="0"/>
                <w:iCs w:val="0"/>
                <w:color w:val="000000"/>
                <w:kern w:val="0"/>
                <w:sz w:val="21"/>
                <w:szCs w:val="21"/>
                <w:u w:val="none"/>
                <w:lang w:val="en-US" w:eastAsia="zh-CN"/>
              </w:rPr>
              <w:t>生态环境局</w:t>
            </w:r>
            <w:r>
              <w:rPr>
                <w:rFonts w:ascii="宋体" w:eastAsia="宋体" w:cs="宋体"/>
                <w:i w:val="0"/>
                <w:iCs w:val="0"/>
                <w:color w:val="000000"/>
                <w:kern w:val="0"/>
                <w:sz w:val="21"/>
                <w:szCs w:val="21"/>
                <w:u w:val="none"/>
                <w:lang w:eastAsia="zh-CN"/>
              </w:rPr>
              <w:t>文水分局</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78" w:lineRule="exact"/>
              <w:jc w:val="left"/>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长期坚持</w:t>
            </w:r>
          </w:p>
        </w:tc>
        <w:tc>
          <w:tcPr>
            <w:tcW w:w="3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pacing w:line="578" w:lineRule="exact"/>
              <w:rPr>
                <w:rFonts w:ascii="宋体" w:eastAsia="宋体" w:cs="宋体" w:hint="eastAsia"/>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eastAsia="仿宋_GB2312" w:cs="Times New Roman" w:hint="eastAsia"/>
          <w:sz w:val="32"/>
          <w:szCs w:val="32"/>
          <w:u w:val="thick"/>
        </w:rPr>
        <w:sectPr>
          <w:footerReference w:type="default" r:id="rId2"/>
          <w:pgSz w:w="16838" w:h="11906" w:orient="landscape"/>
          <w:pgMar w:top="1587" w:right="2098" w:bottom="1474" w:left="1984" w:header="851" w:footer="992" w:gutter="0"/>
          <w:pgNumType w:fmt="numberInDash"/>
          <w:docGrid w:type="lines" w:linePitch="312" w:charSpace="0"/>
        </w:sectPr>
      </w:pPr>
    </w:p>
    <w:p>
      <w:pPr>
        <w:keepNext w:val="0"/>
        <w:keepLines w:val="0"/>
        <w:pageBreakBefore w:val="0"/>
        <w:widowControl w:val="0"/>
        <w:kinsoku/>
        <w:wordWrap/>
        <w:overflowPunct/>
        <w:topLinePunct w:val="0"/>
        <w:autoSpaceDE/>
        <w:autoSpaceDN/>
        <w:adjustRightInd/>
        <w:snapToGrid/>
        <w:spacing w:line="578" w:lineRule="exact"/>
        <w:rPr>
          <w:rFonts w:ascii="仿宋_GB2312" w:eastAsia="仿宋_GB2312" w:cs="仿宋_GB2312"/>
          <w:sz w:val="32"/>
          <w:szCs w:val="32"/>
          <w:lang w:val="en-US"/>
        </w:rPr>
      </w:pPr>
    </w:p>
    <w:sectPr>
      <w:pgSz w:w="11906" w:h="16838"/>
      <w:pgMar w:top="2098" w:right="1474" w:bottom="1984" w:left="1587"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81"/>
    <w:family w:val="swiss"/>
    <w:pitch w:val="variable"/>
    <w:sig w:usb0="E0002AFF" w:usb1="C0007841" w:usb2="00000009" w:usb3="00000000" w:csb0="400001FF" w:csb1="FFFF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9524" cy="170206"/>
              <wp:effectExtent l="0" t="0" r="0" b="0"/>
              <wp:wrapNone/>
              <wp:docPr id="1" name="文本框 6"/>
              <wp:cNvGraphicFramePr>
                <a:graphicFrameLocks noChangeAspect="0"/>
              </wp:cNvGraphicFramePr>
              <a:graphic>
                <a:graphicData uri="http://schemas.microsoft.com/office/word/2010/wordprocessingShape">
                  <wps:wsp>
                    <wps:cNvSpPr/>
                    <wps:spPr>
                      <a:xfrm rot="0">
                        <a:off x="0" y="0"/>
                        <a:ext cx="9524" cy="170206"/>
                      </a:xfrm>
                      <a:prstGeom prst="rect"/>
                      <a:noFill/>
                      <a:ln w="6350" cmpd="sng" cap="flat">
                        <a:noFill/>
                        <a:prstDash val="solid"/>
                        <a:round/>
                      </a:ln>
                    </wps:spPr>
                    <wps:txbx id="2">
                      <w:txbxContent>
                        <w:p>
                          <w:pPr>
                            <w:pStyle w:val="18"/>
                            <w:tabs>
                              <w:tab w:val="center" w:pos="4153"/>
                              <w:tab w:val="right" w:pos="8306"/>
                            </w:tabs>
                            <w:rPr>
                              <w:rFonts w:ascii="宋体" w:cs="宋体"/>
                            </w:rPr>
                          </w:pPr>
                        </w:p>
                      </w:txbxContent>
                    </wps:txbx>
                    <wps:bodyPr vert="horz" wrap="none" lIns="0" tIns="0" rIns="0" bIns="0" anchor="t" anchorCtr="0" upright="0">
                      <a:spAutoFit/>
                    </wps:bodyPr>
                  </wps:wsp>
                </a:graphicData>
              </a:graphic>
            </wp:anchor>
          </w:drawing>
        </mc:Choice>
        <mc:Fallback>
          <w:pict>
            <v:shape type="#_x0000_t202" id="文本框 6 3" o:spid="_x0000_s3" filled="f" stroked="f" strokeweight="0.5pt" style="position:absolute;margin-left:0.0pt;margin-top:0.0pt;width:0.74998856pt;height:13.402063pt;z-index:12;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8"/>
                      <w:tabs>
                        <w:tab w:val="center" w:pos="4153"/>
                        <w:tab w:val="right" w:pos="8306"/>
                      </w:tabs>
                      <w:rPr>
                        <w:rFonts w:ascii="宋体" w:cs="宋体"/>
                      </w:rPr>
                    </w:pP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ZmMWU4ZDI3MmQ5NzRiNTMzNmVlMTNkNDUzNGY0NmMifQ=="/>
    <w:docVar w:name="DocumentID" w:val="{C3A6A5C9-6516-416A-B15A-75F258B1526A}"/>
    <w:docVar w:name="DocumentName" w:val="文字文稿1"/>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黑体"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toa heading"/>
    <w:next w:val="0"/>
    <w:pPr>
      <w:widowControl w:val="0"/>
      <w:spacing w:before="120" w:beforeAutospacing="0"/>
      <w:jc w:val="both"/>
    </w:pPr>
    <w:rPr>
      <w:rFonts w:ascii="Arial" w:eastAsia="宋体" w:cs="Times New Roman" w:hAnsi="Arial"/>
      <w:kern w:val="2"/>
      <w:sz w:val="24"/>
      <w:szCs w:val="22"/>
      <w:lang w:val="en-US" w:eastAsia="zh-CN" w:bidi="ar-SA"/>
    </w:rPr>
  </w:style>
  <w:style w:type="paragraph" w:styleId="16">
    <w:name w:val="Body Text"/>
    <w:basedOn w:val="0"/>
    <w:pPr>
      <w:spacing w:after="120"/>
    </w:pPr>
    <w:rPr>
      <w:kern w:val="0"/>
      <w:sz w:val="20"/>
    </w:rPr>
  </w:style>
  <w:style w:type="paragraph" w:styleId="17">
    <w:name w:val="Body Text Indent 2"/>
    <w:pPr>
      <w:widowControl w:val="0"/>
      <w:spacing w:after="120" w:afterAutospacing="0" w:line="480" w:lineRule="auto"/>
      <w:ind w:leftChars="200" w:left="200"/>
      <w:jc w:val="both"/>
    </w:pPr>
    <w:rPr>
      <w:rFonts w:ascii="Calibri" w:eastAsia="宋体" w:cs="Arial" w:hAnsi="Calibri"/>
      <w:kern w:val="2"/>
      <w:sz w:val="21"/>
      <w:szCs w:val="24"/>
      <w:lang w:val="en-US" w:eastAsia="zh-CN" w:bidi="ar-SA"/>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0">
    <w:name w:val="Normal (Web)"/>
    <w:basedOn w:val="0"/>
    <w:pPr>
      <w:spacing w:before="100" w:beforeAutospacing="1" w:after="100" w:afterAutospacing="1"/>
    </w:pPr>
    <w:rPr>
      <w:rFonts w:ascii="宋体" w:eastAsia="宋体" w:cs="宋体"/>
      <w:sz w:val="24"/>
      <w:szCs w:val="24"/>
    </w:rPr>
  </w:style>
  <w:style w:type="character" w:styleId="21">
    <w:name w:val="Strong"/>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Yozo_Office27021597764231179</Application>
  <Pages>26</Pages>
  <Words>7834</Words>
  <Characters>8207</Characters>
  <Lines>1404</Lines>
  <Paragraphs>584</Paragraphs>
  <CharactersWithSpaces>8207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文水县政府办公室主任（齐树亮）</dc:creator>
  <cp:lastModifiedBy>greatwall</cp:lastModifiedBy>
  <cp:revision>1</cp:revision>
  <cp:lastPrinted>2024-08-19T01:44:00Z</cp:lastPrinted>
  <dcterms:created xsi:type="dcterms:W3CDTF">2022-05-25T14:28:00Z</dcterms:created>
  <dcterms:modified xsi:type="dcterms:W3CDTF">2024-09-29T08:06:24Z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38AC6064EA5C42D5940128D861705090_13</vt:lpwstr>
  </property>
</Properties>
</file>