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5"/>
        <w:keepNext w:val="0"/>
        <w:keepLines w:val="0"/>
        <w:pageBreakBefore w:val="0"/>
        <w:widowControl w:val="0"/>
        <w:tabs>
          <w:tab w:val="center" w:pos="4153"/>
          <w:tab w:val="right" w:pos="8306"/>
        </w:tabs>
        <w:kinsoku/>
        <w:wordWrap/>
        <w:overflowPunct/>
        <w:topLinePunct w:val="0"/>
        <w:autoSpaceDE/>
        <w:autoSpaceDN/>
        <w:bidi w:val="0"/>
        <w:adjustRightInd/>
        <w:snapToGrid w:val="0"/>
        <w:spacing w:line="578" w:lineRule="exact"/>
        <w:textAlignment w:val="auto"/>
        <w:rPr>
          <w:rFonts w:ascii="仿宋_GB2312" w:eastAsia="仿宋_GB2312" w:cs="仿宋_GB2312"/>
          <w:sz w:val="32"/>
          <w:szCs w:val="32"/>
          <w:lang w:val="en-US"/>
        </w:rPr>
      </w:pPr>
      <w:bookmarkStart w:id="0" w:name="_GoBack"/>
      <w:bookmarkEnd w:id="0"/>
      <w:r>
        <w:rPr>
          <w:rFonts w:ascii="黑体" w:eastAsia="黑体" w:cs="黑体" w:hint="eastAsia"/>
          <w:sz w:val="32"/>
          <w:szCs w:val="32"/>
          <w:lang w:eastAsia="zh-CN"/>
        </w:rPr>
        <w:t>附件</w:t>
      </w:r>
      <w:r>
        <w:rPr>
          <w:rFonts w:ascii="黑体" w:eastAsia="黑体" w:cs="黑体" w:hint="eastAsia"/>
          <w:sz w:val="32"/>
          <w:szCs w:val="32"/>
          <w:lang w:val="en-US" w:eastAsia="zh-CN"/>
        </w:rPr>
        <w:t>2</w:t>
      </w:r>
    </w:p>
    <w:p>
      <w:pPr>
        <w:pStyle w:val="15"/>
        <w:keepNext w:val="0"/>
        <w:keepLines w:val="0"/>
        <w:pageBreakBefore w:val="0"/>
        <w:widowControl w:val="0"/>
        <w:tabs>
          <w:tab w:val="center" w:pos="4153"/>
          <w:tab w:val="right" w:pos="8306"/>
        </w:tabs>
        <w:kinsoku/>
        <w:wordWrap/>
        <w:overflowPunct/>
        <w:topLinePunct w:val="0"/>
        <w:autoSpaceDE/>
        <w:autoSpaceDN/>
        <w:bidi w:val="0"/>
        <w:adjustRightInd/>
        <w:snapToGrid w:val="0"/>
        <w:spacing w:line="578" w:lineRule="exact"/>
        <w:jc w:val="center"/>
        <w:textAlignment w:val="auto"/>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文水县人民政府</w:t>
      </w:r>
      <w:r>
        <w:rPr>
          <w:rFonts w:ascii="方正小标宋简体" w:eastAsia="方正小标宋简体" w:cs="方正小标宋简体" w:hint="eastAsia"/>
          <w:sz w:val="44"/>
          <w:szCs w:val="44"/>
          <w:lang w:eastAsia="zh-CN"/>
        </w:rPr>
        <w:t>保留</w:t>
      </w:r>
      <w:r>
        <w:rPr>
          <w:rFonts w:ascii="方正小标宋简体" w:eastAsia="方正小标宋简体" w:cs="方正小标宋简体" w:hint="eastAsia"/>
          <w:sz w:val="44"/>
          <w:szCs w:val="44"/>
        </w:rPr>
        <w:t>向乡镇人民政府下放部分行政执法职权的</w:t>
      </w:r>
    </w:p>
    <w:p>
      <w:pPr>
        <w:pStyle w:val="15"/>
        <w:keepNext w:val="0"/>
        <w:keepLines w:val="0"/>
        <w:pageBreakBefore w:val="0"/>
        <w:widowControl w:val="0"/>
        <w:tabs>
          <w:tab w:val="center" w:pos="4153"/>
          <w:tab w:val="right" w:pos="8306"/>
        </w:tabs>
        <w:kinsoku/>
        <w:wordWrap/>
        <w:overflowPunct/>
        <w:topLinePunct w:val="0"/>
        <w:autoSpaceDE/>
        <w:autoSpaceDN/>
        <w:bidi w:val="0"/>
        <w:adjustRightInd/>
        <w:snapToGrid w:val="0"/>
        <w:spacing w:line="578" w:lineRule="exact"/>
        <w:jc w:val="center"/>
        <w:textAlignment w:val="auto"/>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目录（</w:t>
      </w:r>
      <w:r>
        <w:rPr>
          <w:rFonts w:ascii="方正小标宋简体" w:eastAsia="方正小标宋简体" w:cs="方正小标宋简体" w:hint="eastAsia"/>
          <w:sz w:val="44"/>
          <w:szCs w:val="44"/>
          <w:lang w:val="en-US" w:eastAsia="zh-CN"/>
        </w:rPr>
        <w:t>7</w:t>
      </w:r>
      <w:r>
        <w:rPr>
          <w:rFonts w:ascii="方正小标宋简体" w:eastAsia="方正小标宋简体" w:cs="方正小标宋简体" w:hint="eastAsia"/>
          <w:sz w:val="44"/>
          <w:szCs w:val="44"/>
        </w:rPr>
        <w:t>项）</w:t>
      </w:r>
    </w:p>
    <w:p>
      <w:pPr>
        <w:pStyle w:val="15"/>
        <w:keepNext w:val="0"/>
        <w:keepLines w:val="0"/>
        <w:pageBreakBefore w:val="0"/>
        <w:widowControl w:val="0"/>
        <w:tabs>
          <w:tab w:val="center" w:pos="4153"/>
          <w:tab w:val="right" w:pos="8306"/>
        </w:tabs>
        <w:kinsoku/>
        <w:wordWrap/>
        <w:overflowPunct/>
        <w:topLinePunct w:val="0"/>
        <w:autoSpaceDE/>
        <w:autoSpaceDN/>
        <w:bidi w:val="0"/>
        <w:adjustRightInd/>
        <w:snapToGrid w:val="0"/>
        <w:spacing w:line="578" w:lineRule="exact"/>
        <w:jc w:val="center"/>
        <w:textAlignment w:val="auto"/>
        <w:rPr>
          <w:rFonts w:ascii="方正小标宋简体" w:eastAsia="方正小标宋简体" w:cs="方正小标宋简体" w:hint="eastAsia"/>
          <w:sz w:val="44"/>
          <w:szCs w:val="44"/>
        </w:rPr>
      </w:pPr>
    </w:p>
    <w:tbl>
      <w:tblPr>
        <w:jc w:val="left"/>
        <w:tblInd w:w="0" w:type="dxa"/>
        <w:tblW w:w="5063" w:type="pct"/>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539"/>
        <w:gridCol w:w="1086"/>
        <w:gridCol w:w="3352"/>
        <w:gridCol w:w="5826"/>
        <w:gridCol w:w="1128"/>
        <w:gridCol w:w="1086"/>
      </w:tblGrid>
      <w:tr>
        <w:trPr>
          <w:trHeight w:val="759"/>
        </w:trPr>
        <w:tc>
          <w:tcPr>
            <w:tcW w:w="2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黑体" w:eastAsia="黑体" w:cs="黑体"/>
                <w:i w:val="0"/>
                <w:iCs w:val="0"/>
                <w:color w:val="000000"/>
                <w:sz w:val="24"/>
                <w:szCs w:val="24"/>
                <w:u w:val="none"/>
              </w:rPr>
            </w:pPr>
            <w:r>
              <w:rPr>
                <w:rFonts w:ascii="黑体" w:eastAsia="黑体" w:cs="黑体" w:hint="eastAsia"/>
                <w:i w:val="0"/>
                <w:iCs w:val="0"/>
                <w:color w:val="000000"/>
                <w:kern w:val="0"/>
                <w:sz w:val="24"/>
                <w:szCs w:val="24"/>
                <w:u w:val="none"/>
                <w:lang w:val="en-US" w:eastAsia="zh-CN"/>
              </w:rPr>
              <w:t>序号</w:t>
            </w:r>
          </w:p>
        </w:tc>
        <w:tc>
          <w:tcPr>
            <w:tcW w:w="4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黑体" w:eastAsia="黑体" w:cs="黑体" w:hint="eastAsia"/>
                <w:i w:val="0"/>
                <w:iCs w:val="0"/>
                <w:color w:val="000000"/>
                <w:sz w:val="24"/>
                <w:szCs w:val="24"/>
                <w:u w:val="none"/>
              </w:rPr>
            </w:pPr>
            <w:r>
              <w:rPr>
                <w:rFonts w:ascii="黑体" w:eastAsia="黑体" w:cs="黑体" w:hint="eastAsia"/>
                <w:i w:val="0"/>
                <w:iCs w:val="0"/>
                <w:color w:val="000000"/>
                <w:kern w:val="0"/>
                <w:sz w:val="24"/>
                <w:szCs w:val="24"/>
                <w:u w:val="none"/>
                <w:lang w:val="en-US" w:eastAsia="zh-CN"/>
              </w:rPr>
              <w:t>职权类型</w:t>
            </w:r>
          </w:p>
        </w:tc>
        <w:tc>
          <w:tcPr>
            <w:tcW w:w="128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黑体" w:eastAsia="黑体" w:cs="黑体" w:hint="eastAsia"/>
                <w:i w:val="0"/>
                <w:iCs w:val="0"/>
                <w:color w:val="000000"/>
                <w:sz w:val="24"/>
                <w:szCs w:val="24"/>
                <w:u w:val="none"/>
              </w:rPr>
            </w:pPr>
            <w:r>
              <w:rPr>
                <w:rFonts w:ascii="黑体" w:eastAsia="黑体" w:cs="黑体" w:hint="eastAsia"/>
                <w:i w:val="0"/>
                <w:iCs w:val="0"/>
                <w:color w:val="000000"/>
                <w:kern w:val="0"/>
                <w:sz w:val="24"/>
                <w:szCs w:val="24"/>
                <w:u w:val="none"/>
                <w:lang w:val="en-US" w:eastAsia="zh-CN"/>
              </w:rPr>
              <w:t>事项名称</w:t>
            </w:r>
          </w:p>
        </w:tc>
        <w:tc>
          <w:tcPr>
            <w:tcW w:w="22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黑体" w:eastAsia="黑体" w:cs="黑体" w:hint="eastAsia"/>
                <w:i w:val="0"/>
                <w:iCs w:val="0"/>
                <w:color w:val="000000"/>
                <w:sz w:val="24"/>
                <w:szCs w:val="24"/>
                <w:u w:val="none"/>
              </w:rPr>
            </w:pPr>
            <w:r>
              <w:rPr>
                <w:rFonts w:ascii="黑体" w:eastAsia="黑体" w:cs="黑体" w:hint="eastAsia"/>
                <w:i w:val="0"/>
                <w:iCs w:val="0"/>
                <w:color w:val="000000"/>
                <w:kern w:val="0"/>
                <w:sz w:val="24"/>
                <w:szCs w:val="24"/>
                <w:u w:val="none"/>
                <w:lang w:val="en-US" w:eastAsia="zh-CN"/>
              </w:rPr>
              <w:t>职权依据</w:t>
            </w:r>
          </w:p>
        </w:tc>
        <w:tc>
          <w:tcPr>
            <w:tcW w:w="4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黑体" w:eastAsia="黑体" w:cs="黑体" w:hint="eastAsia"/>
                <w:i w:val="0"/>
                <w:iCs w:val="0"/>
                <w:color w:val="000000"/>
                <w:sz w:val="24"/>
                <w:szCs w:val="24"/>
                <w:u w:val="none"/>
              </w:rPr>
            </w:pPr>
            <w:r>
              <w:rPr>
                <w:rFonts w:ascii="黑体" w:eastAsia="黑体" w:cs="黑体" w:hint="eastAsia"/>
                <w:i w:val="0"/>
                <w:iCs w:val="0"/>
                <w:color w:val="000000"/>
                <w:kern w:val="0"/>
                <w:sz w:val="24"/>
                <w:szCs w:val="24"/>
                <w:u w:val="none"/>
                <w:lang w:val="en-US" w:eastAsia="zh-CN"/>
              </w:rPr>
              <w:t>指导部门</w:t>
            </w:r>
          </w:p>
        </w:tc>
        <w:tc>
          <w:tcPr>
            <w:tcW w:w="4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黑体" w:eastAsia="黑体" w:cs="黑体" w:hint="eastAsia"/>
                <w:i w:val="0"/>
                <w:iCs w:val="0"/>
                <w:color w:val="000000"/>
                <w:sz w:val="24"/>
                <w:szCs w:val="24"/>
                <w:u w:val="none"/>
              </w:rPr>
            </w:pPr>
            <w:r>
              <w:rPr>
                <w:rFonts w:ascii="黑体" w:eastAsia="黑体" w:cs="黑体" w:hint="eastAsia"/>
                <w:i w:val="0"/>
                <w:iCs w:val="0"/>
                <w:color w:val="000000"/>
                <w:kern w:val="0"/>
                <w:sz w:val="24"/>
                <w:szCs w:val="24"/>
                <w:u w:val="none"/>
                <w:lang w:val="en-US" w:eastAsia="zh-CN"/>
              </w:rPr>
              <w:t>实施主体</w:t>
            </w:r>
          </w:p>
        </w:tc>
      </w:tr>
      <w:tr>
        <w:trPr>
          <w:trHeight w:val="1866"/>
        </w:trPr>
        <w:tc>
          <w:tcPr>
            <w:tcW w:w="2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w:t>
            </w:r>
          </w:p>
        </w:tc>
        <w:tc>
          <w:tcPr>
            <w:tcW w:w="4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行政处罚</w:t>
            </w:r>
          </w:p>
        </w:tc>
        <w:tc>
          <w:tcPr>
            <w:tcW w:w="128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对露天焚烧秸秆、落叶等产生烟尘污染物质行为的处罚。</w:t>
            </w:r>
          </w:p>
        </w:tc>
        <w:tc>
          <w:tcPr>
            <w:tcW w:w="22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《中华人民共和国大气污染防治法》第一百一十九条第一款</w:t>
            </w:r>
            <w:r>
              <w:rPr>
                <w:rFonts w:ascii="宋体" w:eastAsia="宋体" w:cs="宋体" w:hint="eastAsia"/>
                <w:i w:val="0"/>
                <w:iCs w:val="0"/>
                <w:color w:val="000000"/>
                <w:kern w:val="0"/>
                <w:sz w:val="20"/>
                <w:szCs w:val="20"/>
                <w:u w:val="none"/>
                <w:lang w:val="en-US" w:eastAsia="zh-CN"/>
              </w:rPr>
              <w:t xml:space="preserve">  违反本法规定，在人口集中地区对树木、花草喷洒剧毒、高毒农药，或者露天焚烧秸秆、落叶等产生烟尘污染的物质的， 由县级以上地方人民政府确定的监督管理部门责令改正，并可以处五百元以上二千元以下的罚款。</w:t>
            </w:r>
          </w:p>
        </w:tc>
        <w:tc>
          <w:tcPr>
            <w:tcW w:w="4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市生态环境局文水分局</w:t>
            </w:r>
          </w:p>
        </w:tc>
        <w:tc>
          <w:tcPr>
            <w:tcW w:w="4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12 个乡镇</w:t>
            </w:r>
          </w:p>
        </w:tc>
      </w:tr>
      <w:tr>
        <w:trPr>
          <w:trHeight w:val="3827"/>
        </w:trPr>
        <w:tc>
          <w:tcPr>
            <w:tcW w:w="2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2</w:t>
            </w:r>
          </w:p>
        </w:tc>
        <w:tc>
          <w:tcPr>
            <w:tcW w:w="4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行政处罚</w:t>
            </w:r>
          </w:p>
        </w:tc>
        <w:tc>
          <w:tcPr>
            <w:tcW w:w="128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对公共场所随地吐痰的行为的处罚。</w:t>
            </w:r>
          </w:p>
        </w:tc>
        <w:tc>
          <w:tcPr>
            <w:tcW w:w="22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《山西省禁止公共场所随地吐痰的规定》（省第十三届人大常委会第十八次会议于 2020年5月15日通过）第十五条</w:t>
            </w:r>
            <w:r>
              <w:rPr>
                <w:rFonts w:ascii="宋体" w:eastAsia="宋体" w:cs="宋体" w:hint="eastAsia"/>
                <w:i w:val="0"/>
                <w:iCs w:val="0"/>
                <w:color w:val="000000"/>
                <w:kern w:val="0"/>
                <w:sz w:val="20"/>
                <w:szCs w:val="20"/>
                <w:u w:val="none"/>
                <w:lang w:val="en-US" w:eastAsia="zh-CN"/>
              </w:rPr>
              <w:t xml:space="preserve"> 在公共场所随地吐痰的， 由县级以上人民政府城市管理行政执法部门或者其依法委托的单位责令清除痰渍，并可以予以警告；拒不清除的，可以按照下列规定予以处罚：（一）在室外公共场所随地吐痰的，处一百元以上二百元以下的罚款；（二）在室内公共场所随地吐痰的，处二百元以上三百元以下的罚款；（三）在公共交通工具、电梯轿厢等公共密闭空间内随地吐痰的，处三百元以上五百元以下的罚款。违反本规定的其他行为，法律、行政法规已有法律责任规定的，从其规定。</w:t>
            </w:r>
          </w:p>
        </w:tc>
        <w:tc>
          <w:tcPr>
            <w:tcW w:w="4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县住建局</w:t>
            </w:r>
          </w:p>
        </w:tc>
        <w:tc>
          <w:tcPr>
            <w:tcW w:w="4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12 个乡镇</w:t>
            </w:r>
          </w:p>
        </w:tc>
      </w:tr>
      <w:tr>
        <w:trPr>
          <w:trHeight w:val="2680"/>
        </w:trPr>
        <w:tc>
          <w:tcPr>
            <w:tcW w:w="2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3</w:t>
            </w:r>
          </w:p>
        </w:tc>
        <w:tc>
          <w:tcPr>
            <w:tcW w:w="4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行政处罚</w:t>
            </w:r>
          </w:p>
        </w:tc>
        <w:tc>
          <w:tcPr>
            <w:tcW w:w="128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对随意倾倒、抛撒、堆放或者焚烧生活垃圾的行为的处罚。</w:t>
            </w:r>
          </w:p>
        </w:tc>
        <w:tc>
          <w:tcPr>
            <w:tcW w:w="22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《中华人民共和国固体废物污染环境防治法》第一百一十一条第一款第一项、第二款</w:t>
            </w:r>
            <w:r>
              <w:rPr>
                <w:rFonts w:ascii="宋体" w:eastAsia="宋体" w:cs="宋体" w:hint="eastAsia"/>
                <w:i w:val="0"/>
                <w:iCs w:val="0"/>
                <w:color w:val="000000"/>
                <w:kern w:val="0"/>
                <w:sz w:val="20"/>
                <w:szCs w:val="20"/>
                <w:u w:val="none"/>
                <w:lang w:val="en-US" w:eastAsia="zh-CN"/>
              </w:rPr>
              <w:t xml:space="preserve"> 违反本法规定，有下列行为之一， 由县级以上地方人民政府环境卫生主管部门责令改正，处以罚款，没收违法所得：（一） 随意倾倒、抛撒、堆放或者焚烧生活垃圾的。单位有前款第一项、第七项行为之一，处五万元以上五十万元以下的罚款；个人有前款第一项、第五项、第七项行为之一，处一百元以上五百元以下的罚款。</w:t>
            </w:r>
          </w:p>
        </w:tc>
        <w:tc>
          <w:tcPr>
            <w:tcW w:w="4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县住建局</w:t>
            </w:r>
          </w:p>
        </w:tc>
        <w:tc>
          <w:tcPr>
            <w:tcW w:w="4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12 个乡镇</w:t>
            </w:r>
          </w:p>
        </w:tc>
      </w:tr>
      <w:tr>
        <w:trPr>
          <w:trHeight w:val="1345"/>
        </w:trPr>
        <w:tc>
          <w:tcPr>
            <w:tcW w:w="2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4</w:t>
            </w:r>
          </w:p>
        </w:tc>
        <w:tc>
          <w:tcPr>
            <w:tcW w:w="4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行政处罚</w:t>
            </w:r>
          </w:p>
        </w:tc>
        <w:tc>
          <w:tcPr>
            <w:tcW w:w="128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对车辆装载物触地拖行、掉落、遗洒或者飘散，造成公路路面损坏、污染的行为的处罚。</w:t>
            </w:r>
          </w:p>
        </w:tc>
        <w:tc>
          <w:tcPr>
            <w:tcW w:w="22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《公路安全保护条例（国务院令第 593 号）第六十九条</w:t>
            </w:r>
            <w:r>
              <w:rPr>
                <w:rFonts w:ascii="宋体" w:eastAsia="宋体" w:cs="宋体" w:hint="eastAsia"/>
                <w:i w:val="0"/>
                <w:iCs w:val="0"/>
                <w:color w:val="000000"/>
                <w:kern w:val="0"/>
                <w:sz w:val="20"/>
                <w:szCs w:val="20"/>
                <w:u w:val="none"/>
                <w:lang w:val="en-US" w:eastAsia="zh-CN"/>
              </w:rPr>
              <w:t xml:space="preserve">  车辆装载物触地拖行、掉落、遗洒或者飘散，造成公路路面损坏、污染的， 由公路管理机构责令改正，处 5000 元以下的罚款。</w:t>
            </w:r>
          </w:p>
        </w:tc>
        <w:tc>
          <w:tcPr>
            <w:tcW w:w="4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县交通局</w:t>
            </w:r>
          </w:p>
        </w:tc>
        <w:tc>
          <w:tcPr>
            <w:tcW w:w="4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12 个乡镇</w:t>
            </w:r>
          </w:p>
        </w:tc>
      </w:tr>
      <w:tr>
        <w:trPr>
          <w:trHeight w:val="2346"/>
        </w:trPr>
        <w:tc>
          <w:tcPr>
            <w:tcW w:w="2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5</w:t>
            </w:r>
          </w:p>
        </w:tc>
        <w:tc>
          <w:tcPr>
            <w:tcW w:w="4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行政处罚</w:t>
            </w:r>
          </w:p>
        </w:tc>
        <w:tc>
          <w:tcPr>
            <w:tcW w:w="128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对在人口集中地区和其他依法需要特殊保护的区域内，焚烧沥青、油毡、橡胶、塑料、皮革、垃圾以及其他产生有毒有害烟尘和恶臭气体的物质的行为的处罚。</w:t>
            </w:r>
          </w:p>
        </w:tc>
        <w:tc>
          <w:tcPr>
            <w:tcW w:w="22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 xml:space="preserve">《中华人民共和国大气污染防治法》 第一百一十九条第二款 </w:t>
            </w:r>
            <w:r>
              <w:rPr>
                <w:rFonts w:ascii="宋体" w:eastAsia="宋体" w:cs="宋体" w:hint="eastAsia"/>
                <w:i w:val="0"/>
                <w:iCs w:val="0"/>
                <w:color w:val="000000"/>
                <w:kern w:val="0"/>
                <w:sz w:val="20"/>
                <w:szCs w:val="20"/>
                <w:u w:val="none"/>
                <w:lang w:val="en-US" w:eastAsia="zh-CN"/>
              </w:rPr>
              <w:t xml:space="preserve"> 违反本法规定，在人口集中地区和其他依法需要特殊保护的区域内，焚烧沥青、油毡、橡胶、塑料、皮革、垃圾以及其他产生有毒有害烟尘和恶臭气体的物质的， 由县级人民政府确定的监督管理部门责令改正，对单位处一万元以上十万元以下的罚款，对个人处五百元以上二千元以下的罚款。</w:t>
            </w:r>
          </w:p>
        </w:tc>
        <w:tc>
          <w:tcPr>
            <w:tcW w:w="4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市生态环境局文水分局</w:t>
            </w:r>
          </w:p>
        </w:tc>
        <w:tc>
          <w:tcPr>
            <w:tcW w:w="4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12 个乡镇</w:t>
            </w:r>
          </w:p>
        </w:tc>
      </w:tr>
      <w:tr>
        <w:trPr>
          <w:trHeight w:val="4683"/>
        </w:trPr>
        <w:tc>
          <w:tcPr>
            <w:tcW w:w="2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6</w:t>
            </w:r>
          </w:p>
        </w:tc>
        <w:tc>
          <w:tcPr>
            <w:tcW w:w="4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行政处罚</w:t>
            </w:r>
          </w:p>
        </w:tc>
        <w:tc>
          <w:tcPr>
            <w:tcW w:w="128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对在文物建筑保护范围内吸烟、燃放烟花爆竹、点放孔明灯等使用明火行为的处罚（依法适用简易程序的）。</w:t>
            </w:r>
          </w:p>
        </w:tc>
        <w:tc>
          <w:tcPr>
            <w:tcW w:w="22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《中华人民共和国消防法》第六十三条</w:t>
            </w:r>
            <w:r>
              <w:rPr>
                <w:rFonts w:ascii="宋体" w:eastAsia="宋体" w:cs="宋体" w:hint="eastAsia"/>
                <w:i w:val="0"/>
                <w:iCs w:val="0"/>
                <w:color w:val="000000"/>
                <w:kern w:val="0"/>
                <w:sz w:val="20"/>
                <w:szCs w:val="20"/>
                <w:u w:val="none"/>
                <w:lang w:val="en-US" w:eastAsia="zh-CN"/>
              </w:rPr>
              <w:t xml:space="preserve">  违反本法规定，有下列行为之一的，处警告或者五百元以下罚款；情节严重的，处五日以下拘留：  （一）违反消防安全规定进入生产、储存易燃易爆危险品场所的；(二）违反规定使用明火作业或者在具有火灾、爆炸危险的场所吸烟、使用</w:t>
              <w:br/>
              <w:t>明火的。</w:t>
              <w:br/>
            </w:r>
            <w:r>
              <w:rPr>
                <w:rFonts w:ascii="宋体" w:eastAsia="宋体" w:cs="宋体" w:hint="eastAsia"/>
                <w:b/>
                <w:bCs/>
                <w:i w:val="0"/>
                <w:iCs w:val="0"/>
                <w:color w:val="000000"/>
                <w:kern w:val="0"/>
                <w:sz w:val="20"/>
                <w:szCs w:val="20"/>
                <w:u w:val="none"/>
                <w:lang w:val="en-US" w:eastAsia="zh-CN"/>
              </w:rPr>
              <w:t>《山西省文物建筑消防安全管理规定》（省政府令第 281 号）  第二十四条第一款</w:t>
            </w:r>
            <w:r>
              <w:rPr>
                <w:rFonts w:ascii="宋体" w:eastAsia="宋体" w:cs="宋体" w:hint="eastAsia"/>
                <w:i w:val="0"/>
                <w:iCs w:val="0"/>
                <w:color w:val="000000"/>
                <w:kern w:val="0"/>
                <w:sz w:val="20"/>
                <w:szCs w:val="20"/>
                <w:u w:val="none"/>
                <w:lang w:val="en-US" w:eastAsia="zh-CN"/>
              </w:rPr>
              <w:t xml:space="preserve"> 在文物建筑保护范围内禁止吸烟、燃放烟花爆竹、点放孔明灯等使用明火行为。确需用火的，应当符合文物建筑消防安全管理行业标准的规定。</w:t>
              <w:br/>
            </w:r>
            <w:r>
              <w:rPr>
                <w:rFonts w:ascii="宋体" w:eastAsia="宋体" w:cs="宋体" w:hint="eastAsia"/>
                <w:b/>
                <w:bCs/>
                <w:i w:val="0"/>
                <w:iCs w:val="0"/>
                <w:color w:val="000000"/>
                <w:kern w:val="0"/>
                <w:sz w:val="20"/>
                <w:szCs w:val="20"/>
                <w:u w:val="none"/>
                <w:lang w:val="en-US" w:eastAsia="zh-CN"/>
              </w:rPr>
              <w:t>第三十四条</w:t>
            </w:r>
            <w:r>
              <w:rPr>
                <w:rFonts w:ascii="宋体" w:eastAsia="宋体" w:cs="宋体" w:hint="eastAsia"/>
                <w:i w:val="0"/>
                <w:iCs w:val="0"/>
                <w:color w:val="000000"/>
                <w:kern w:val="0"/>
                <w:sz w:val="20"/>
                <w:szCs w:val="20"/>
                <w:u w:val="none"/>
                <w:lang w:val="en-US" w:eastAsia="zh-CN"/>
              </w:rPr>
              <w:t xml:space="preserve"> 违反本规定的行为，法律、法规已经规定法律责任的，从其规定。</w:t>
            </w:r>
          </w:p>
        </w:tc>
        <w:tc>
          <w:tcPr>
            <w:tcW w:w="4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县消防队</w:t>
            </w:r>
          </w:p>
        </w:tc>
        <w:tc>
          <w:tcPr>
            <w:tcW w:w="4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12 个乡镇</w:t>
            </w:r>
          </w:p>
        </w:tc>
      </w:tr>
      <w:tr>
        <w:trPr>
          <w:trHeight w:val="2023"/>
        </w:trPr>
        <w:tc>
          <w:tcPr>
            <w:tcW w:w="2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7</w:t>
            </w:r>
          </w:p>
        </w:tc>
        <w:tc>
          <w:tcPr>
            <w:tcW w:w="4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行政处罚</w:t>
            </w:r>
          </w:p>
        </w:tc>
        <w:tc>
          <w:tcPr>
            <w:tcW w:w="128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对占用、堵塞、封闭消防车通道，妨碍消防车通行的行为的处罚（依法适用简易程序的）。</w:t>
            </w:r>
          </w:p>
        </w:tc>
        <w:tc>
          <w:tcPr>
            <w:tcW w:w="22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b/>
                <w:bCs/>
                <w:i w:val="0"/>
                <w:iCs w:val="0"/>
                <w:color w:val="000000"/>
                <w:sz w:val="20"/>
                <w:szCs w:val="20"/>
                <w:u w:val="none"/>
              </w:rPr>
            </w:pPr>
            <w:r>
              <w:rPr>
                <w:rFonts w:ascii="宋体" w:eastAsia="宋体" w:cs="宋体" w:hint="eastAsia"/>
                <w:b/>
                <w:bCs/>
                <w:i w:val="0"/>
                <w:iCs w:val="0"/>
                <w:color w:val="000000"/>
                <w:kern w:val="0"/>
                <w:sz w:val="20"/>
                <w:szCs w:val="20"/>
                <w:u w:val="none"/>
                <w:lang w:val="en-US" w:eastAsia="zh-CN"/>
              </w:rPr>
              <w:t>《中华人民共和国消防法》第六十条第一款第五项、第二款</w:t>
            </w:r>
            <w:r>
              <w:rPr>
                <w:rFonts w:ascii="宋体" w:eastAsia="宋体" w:cs="宋体" w:hint="eastAsia"/>
                <w:i w:val="0"/>
                <w:iCs w:val="0"/>
                <w:color w:val="000000"/>
                <w:kern w:val="0"/>
                <w:sz w:val="20"/>
                <w:szCs w:val="20"/>
                <w:u w:val="none"/>
                <w:lang w:val="en-US" w:eastAsia="zh-CN"/>
              </w:rPr>
              <w:t xml:space="preserve">  单位违反本法规定，有下列行为之一的，责令改正，处五千元以上五万元以下罚款：（五） 占用、堵塞、封闭消防车通道，妨碍消防车通行的。</w:t>
              <w:br/>
              <w:t>个人有前款第二项、第三项、第四项、第五项行为之一的，处警告或者五百元以下罚款。</w:t>
            </w:r>
          </w:p>
        </w:tc>
        <w:tc>
          <w:tcPr>
            <w:tcW w:w="43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县消防队</w:t>
            </w:r>
          </w:p>
        </w:tc>
        <w:tc>
          <w:tcPr>
            <w:tcW w:w="4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iCs w:val="0"/>
                <w:color w:val="000000"/>
                <w:sz w:val="20"/>
                <w:szCs w:val="20"/>
                <w:u w:val="none"/>
              </w:rPr>
            </w:pPr>
            <w:r>
              <w:rPr>
                <w:rFonts w:ascii="宋体" w:eastAsia="宋体" w:cs="宋体" w:hint="eastAsia"/>
                <w:i w:val="0"/>
                <w:iCs w:val="0"/>
                <w:color w:val="000000"/>
                <w:kern w:val="0"/>
                <w:sz w:val="20"/>
                <w:szCs w:val="20"/>
                <w:u w:val="none"/>
                <w:lang w:val="en-US" w:eastAsia="zh-CN"/>
              </w:rPr>
              <w:t>12 个乡镇</w:t>
            </w:r>
          </w:p>
        </w:tc>
      </w:tr>
    </w:tbl>
    <w:p>
      <w:pPr>
        <w:keepNext w:val="0"/>
        <w:keepLines w:val="0"/>
        <w:pageBreakBefore w:val="0"/>
        <w:widowControl w:val="0"/>
        <w:kinsoku/>
        <w:wordWrap/>
        <w:overflowPunct/>
        <w:topLinePunct w:val="0"/>
        <w:autoSpaceDE/>
        <w:autoSpaceDN/>
        <w:bidi w:val="0"/>
        <w:adjustRightInd/>
        <w:snapToGrid/>
        <w:spacing w:line="578" w:lineRule="exact"/>
        <w:ind w:left="0" w:firstLineChars="200" w:firstLine="640"/>
        <w:jc w:val="both"/>
        <w:textAlignment w:val="auto"/>
        <w:rPr>
          <w:rFonts w:asci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firstLineChars="200" w:firstLine="640"/>
        <w:jc w:val="both"/>
        <w:textAlignment w:val="auto"/>
        <w:rPr>
          <w:rFonts w:ascii="仿宋_GB2312" w:eastAsia="仿宋_GB2312" w:cs="仿宋_GB2312"/>
          <w:sz w:val="32"/>
          <w:szCs w:val="32"/>
          <w:lang w:val="en-US" w:eastAsia="zh-CN"/>
        </w:rPr>
      </w:pPr>
    </w:p>
    <w:sectPr>
      <w:pgSz w:w="16838" w:h="11906" w:orient="landscape"/>
      <w:pgMar w:top="1587" w:right="2098" w:bottom="1474" w:left="1984" w:header="851" w:footer="992" w:gutter="0"/>
      <w:pgNumType/>
      <w:rtlGutter/>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方正小标宋简体">
    <w:panose1 w:val="02000000000000000000"/>
    <w:charset w:val="86"/>
    <w:family w:val="auto"/>
    <w:pitch w:val="variable"/>
    <w:sig w:usb0="00000001" w:usb1="08000000" w:usb2="00000000" w:usb3="00000000" w:csb0="00040000" w:csb1="00000000"/>
  </w:font>
  <w:font w:name="宋体">
    <w:altName w:val="方正书宋_GBK"/>
    <w:panose1 w:val="02010600030101010101"/>
    <w:charset w:val="86"/>
    <w:family w:val="auto"/>
    <w:pitch w:val="variable"/>
    <w:sig w:usb0="00000003" w:usb1="288F0000" w:usb2="00000006" w:usb3="00000000" w:csb0="00040001" w:csb1="00000000"/>
  </w:font>
  <w:font w:name="Times New Roman">
    <w:panose1 w:val="02020603050405020304"/>
    <w:charset w:val="A1"/>
    <w:family w:val="auto"/>
    <w:pitch w:val="variable"/>
    <w:sig w:usb0="E0002AFF" w:usb1="C0007841" w:usb2="00000009" w:usb3="00000000" w:csb0="400001FF" w:csb1="FFFF0000"/>
  </w:font>
  <w:font w:name="Calibri">
    <w:altName w:val="Times New Roman"/>
    <w:panose1 w:val="020F0502020204030204"/>
    <w:charset w:val="00"/>
    <w:family w:val="swiss"/>
    <w:pitch w:val="variable"/>
    <w:sig w:usb0="E00002FF" w:usb1="4000ACFF" w:usb2="00000001" w:usb3="00000000" w:csb0="2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7">
    <w:name w:val="Normal (Web)"/>
    <w:basedOn w:val="0"/>
    <w:pPr>
      <w:spacing w:before="100" w:beforeAutospacing="1" w:after="100" w:afterAutospacing="1"/>
      <w:ind w:left="0" w:right="0"/>
      <w:jc w:val="left"/>
    </w:pPr>
    <w:rPr>
      <w:kern w:val="0"/>
      <w:sz w:val="24"/>
      <w:lang w:val="en-US" w:eastAsia="zh-CN"/>
    </w:rPr>
  </w:style>
  <w:style w:type="character" w:styleId="18">
    <w:name w:val="Strong"/>
    <w:basedOn w:val="10"/>
    <w:rPr>
      <w:b/>
    </w:rPr>
  </w:style>
  <w:style w:type="character" w:customStyle="1" w:styleId="19">
    <w:name w:val="font61"/>
    <w:basedOn w:val="10"/>
    <w:rPr>
      <w:rFonts w:ascii="仿宋_GB2312" w:eastAsia="仿宋_GB2312" w:cs="仿宋_GB2312"/>
      <w:color w:val="000000"/>
      <w:sz w:val="24"/>
      <w:szCs w:val="24"/>
      <w:u w:val="none"/>
    </w:rPr>
  </w:style>
  <w:style w:type="character" w:customStyle="1" w:styleId="20">
    <w:name w:val="font71"/>
    <w:basedOn w:val="10"/>
    <w:rPr>
      <w:rFonts w:ascii="仿宋_GB2312" w:eastAsia="仿宋_GB2312" w:cs="仿宋_GB2312"/>
      <w:b/>
      <w:bCs/>
      <w:color w:val="000000"/>
      <w:sz w:val="24"/>
      <w:szCs w:val="24"/>
      <w:u w:val="none"/>
    </w:rPr>
  </w:style>
  <w:style w:type="character" w:customStyle="1" w:styleId="21">
    <w:name w:val="font31"/>
    <w:basedOn w:val="10"/>
    <w:rPr>
      <w:rFonts w:ascii="Times New Roman" w:cs="Times New Roman" w:hAnsi="Times New Roman"/>
      <w:color w:val="000000"/>
      <w:sz w:val="20"/>
      <w:szCs w:val="20"/>
      <w:u w:val="none"/>
    </w:rPr>
  </w:style>
  <w:style w:type="character" w:customStyle="1" w:styleId="22">
    <w:name w:val="font21"/>
    <w:basedOn w:val="10"/>
    <w:rPr>
      <w:rFonts w:ascii="宋体" w:eastAsia="宋体" w:cs="宋体"/>
      <w:b/>
      <w:bCs/>
      <w:color w:val="000000"/>
      <w:sz w:val="20"/>
      <w:szCs w:val="20"/>
      <w:u w:val="none"/>
    </w:rPr>
  </w:style>
  <w:style w:type="character" w:customStyle="1" w:styleId="23">
    <w:name w:val="font41"/>
    <w:basedOn w:val="10"/>
    <w:rPr>
      <w:rFonts w:ascii="Times New Roman" w:cs="Times New Roman" w:hAnsi="Times New Roman"/>
      <w:b/>
      <w:bCs/>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19</TotalTime>
  <Application>Yozo_Office27021597764231179</Application>
  <Pages>3</Pages>
  <Words>1605</Words>
  <Characters>1623</Characters>
  <Lines>122</Lines>
  <Paragraphs>51</Paragraphs>
  <CharactersWithSpaces>1667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uos</dc:creator>
  <cp:lastModifiedBy>greatwall</cp:lastModifiedBy>
  <cp:revision>1</cp:revision>
  <cp:lastPrinted>2025-08-12T02:12:17Z</cp:lastPrinted>
  <dcterms:created xsi:type="dcterms:W3CDTF">2025-01-15T09:44:00Z</dcterms:created>
  <dcterms:modified xsi:type="dcterms:W3CDTF">2025-08-15T02:35:17Z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43201FD190F14F1794A17E021633FAC9_13</vt:lpwstr>
  </property>
  <property fmtid="{D5CDD505-2E9C-101B-9397-08002B2CF9AE}" pid="4" name="KSOTemplateDocerSaveRecord">
    <vt:lpwstr>eyJoZGlkIjoiNTYxNzBlMmEwMzc0ZThlYTlhMjVjYmM3NTlhODg5NzQiLCJ1c2VySWQiOiIyNTczMjE1ODkifQ==</vt:lpwstr>
  </property>
</Properties>
</file>