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center"/>
        <w:rPr>
          <w:rFonts w:ascii="方正小标宋简体" w:eastAsia="方正小标宋简体" w:cs="方正小标宋简体" w:hint="eastAsia"/>
          <w:color w:val="000000"/>
          <w:sz w:val="36"/>
          <w:szCs w:val="36"/>
          <w14:textFill>
            <w14:solidFill>
              <w14:srgbClr w14:val="000000"/>
            </w14:solidFill>
          </w14:textFill>
          <w:highlight w:val="auto"/>
        </w:rPr>
      </w:pPr>
    </w:p>
    <w:p>
      <w:pPr>
        <w:widowControl/>
        <w:jc w:val="center"/>
        <w:rPr>
          <w:rFonts w:ascii="方正小标宋简体" w:eastAsia="方正小标宋简体" w:cs="方正小标宋简体"/>
          <w:color w:val="000000"/>
          <w:sz w:val="36"/>
          <w:szCs w:val="36"/>
          <w14:textFill>
            <w14:solidFill>
              <w14:srgbClr w14:val="000000"/>
            </w14:solidFill>
          </w14:textFill>
          <w:highlight w:val="auto"/>
        </w:rPr>
      </w:pPr>
    </w:p>
    <w:p>
      <w:pPr>
        <w:widowControl/>
        <w:jc w:val="center"/>
        <w:rPr>
          <w:rFonts w:ascii="方正小标宋简体" w:eastAsia="方正小标宋简体" w:cs="方正小标宋简体"/>
          <w:color w:val="000000"/>
          <w:sz w:val="36"/>
          <w:szCs w:val="36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方正小标宋简体" w:eastAsia="方正小标宋简体" w:cs="方正小标宋简体" w:hint="eastAsia"/>
          <w:color w:val="000000"/>
          <w:sz w:val="36"/>
          <w:szCs w:val="36"/>
          <w14:textFill>
            <w14:solidFill>
              <w14:srgbClr w14:val="000000"/>
            </w14:solidFill>
          </w14:textFill>
          <w:highlight w:val="auto"/>
        </w:rPr>
        <w:t>山西省土壤</w:t>
      </w:r>
      <w:r>
        <w:rPr>
          <w:rFonts w:ascii="方正小标宋简体" w:eastAsia="方正小标宋简体" w:cs="方正小标宋简体" w:hint="eastAsia"/>
          <w:color w:val="000000"/>
          <w:sz w:val="36"/>
          <w:szCs w:val="36"/>
          <w14:textFill>
            <w14:solidFill>
              <w14:srgbClr w14:val="000000"/>
            </w14:solidFill>
          </w14:textFill>
          <w:lang w:eastAsia="zh-CN"/>
          <w:highlight w:val="auto"/>
        </w:rPr>
        <w:t>和</w:t>
      </w:r>
      <w:r>
        <w:rPr>
          <w:rFonts w:ascii="方正小标宋简体" w:eastAsia="方正小标宋简体" w:cs="方正小标宋简体" w:hint="eastAsia"/>
          <w:color w:val="000000"/>
          <w:sz w:val="36"/>
          <w:szCs w:val="36"/>
          <w14:textFill>
            <w14:solidFill>
              <w14:srgbClr w14:val="000000"/>
            </w14:solidFill>
          </w14:textFill>
          <w:highlight w:val="auto"/>
        </w:rPr>
        <w:t>地下水污染防治</w:t>
      </w:r>
    </w:p>
    <w:p>
      <w:pPr>
        <w:widowControl/>
        <w:jc w:val="center"/>
        <w:rPr>
          <w:rFonts w:ascii="方正小标宋简体" w:eastAsia="方正小标宋简体" w:cs="方正小标宋简体"/>
          <w:color w:val="000000"/>
          <w:kern w:val="0"/>
          <w:sz w:val="36"/>
          <w:szCs w:val="36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方正小标宋简体" w:eastAsia="方正小标宋简体" w:cs="方正小标宋简体" w:hint="eastAsia"/>
          <w:color w:val="000000"/>
          <w:sz w:val="36"/>
          <w:szCs w:val="36"/>
          <w14:textFill>
            <w14:solidFill>
              <w14:srgbClr w14:val="000000"/>
            </w14:solidFill>
          </w14:textFill>
          <w:highlight w:val="auto"/>
        </w:rPr>
        <w:t>专家库管理办法（试行）</w:t>
      </w:r>
    </w:p>
    <w:p>
      <w:pPr>
        <w:widowControl/>
        <w:spacing w:beforeLines="50" w:before="156" w:afterLines="50" w:after="156" w:line="560" w:lineRule="exact"/>
        <w:jc w:val="center"/>
        <w:rPr>
          <w:rFonts w:ascii="黑体" w:eastAsia="黑体" w:cs="黑体"/>
          <w:color w:val="000000"/>
          <w:kern w:val="0"/>
          <w:sz w:val="31"/>
          <w:szCs w:val="31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黑体" w:eastAsia="黑体" w:cs="黑体"/>
          <w:color w:val="000000"/>
          <w:kern w:val="0"/>
          <w:sz w:val="31"/>
          <w:szCs w:val="31"/>
          <w14:textFill>
            <w14:solidFill>
              <w14:srgbClr w14:val="000000"/>
            </w14:solidFill>
          </w14:textFill>
          <w:highlight w:val="auto"/>
        </w:rPr>
        <w:t>第一章 总则</w:t>
      </w:r>
    </w:p>
    <w:p>
      <w:pPr>
        <w:widowControl/>
        <w:spacing w:line="560" w:lineRule="exact"/>
        <w:ind w:firstLineChars="200" w:firstLine="640"/>
        <w:jc w:val="both"/>
        <w:rPr>
          <w:rFonts w:ascii="仿宋_GB2312" w:eastAsia="仿宋_GB2312" w:cs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第一条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为加强山西省土壤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和地下水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污染防治专家管理，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充分发挥专家在科学民主决策、高效技术咨询、严把评审质量等方面的重要作用，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根据《中华人民共和国土壤污染防治法》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《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山西省土壤污染防治条例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》《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山西省水污染防治条例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》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《污染地块土壤环境管理办法（试行）》和《建设用地土壤污染状况调查、风险评估、风险管控及修复效果评估报告评审指南》等有关规定，结合实际，制定本办法。</w:t>
      </w:r>
    </w:p>
    <w:p>
      <w:pPr>
        <w:widowControl/>
        <w:spacing w:line="560" w:lineRule="exact"/>
        <w:ind w:firstLineChars="200" w:firstLine="640"/>
        <w:jc w:val="both"/>
        <w:rPr>
          <w:rFonts w:ascii="仿宋_GB2312" w:eastAsia="仿宋_GB2312" w:cs="仿宋_GB2312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第二条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本办法适用于山西省行政区域内建设用地土壤污染状况调查、风险评估、风险管控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/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修复、风险管控及修复效果评估等技术评审专家库的设立和管理。各市可依据本办法的规定及当地实际情况，设立本辖区专家库。</w:t>
      </w:r>
    </w:p>
    <w:p>
      <w:pPr>
        <w:widowControl/>
        <w:spacing w:line="560" w:lineRule="exact"/>
        <w:ind w:firstLineChars="200" w:firstLine="640"/>
        <w:jc w:val="both"/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第三条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本办法所称专家，是指符合本办法规定的条件和要求，以独立身份参加山西省建设用地土壤污染状况调查、风险评估、风险管控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/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修复、风险管控及修复效果评估的评审专业人员。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第四条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山西省生态环境厅会同山西省自然资源厅共同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委托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山西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省生态环境规划和技术研究院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以下简称“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专家库管理部门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负责专家库的设立、日常管理和专家考核工作。</w:t>
      </w:r>
    </w:p>
    <w:p>
      <w:pPr>
        <w:widowControl w:val="0"/>
        <w:spacing w:beforeLines="50" w:before="156" w:afterLines="50" w:after="156" w:line="560" w:lineRule="exact"/>
        <w:jc w:val="center"/>
        <w:rPr>
          <w:rFonts w:ascii="黑体" w:eastAsia="黑体" w:cs="黑体"/>
          <w:color w:val="000000"/>
          <w:kern w:val="0"/>
          <w:sz w:val="31"/>
          <w:szCs w:val="31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黑体" w:eastAsia="黑体" w:cs="黑体"/>
          <w:color w:val="000000"/>
          <w:kern w:val="0"/>
          <w:sz w:val="31"/>
          <w:szCs w:val="31"/>
          <w14:textFill>
            <w14:solidFill>
              <w14:srgbClr w14:val="000000"/>
            </w14:solidFill>
          </w14:textFill>
          <w:highlight w:val="auto"/>
        </w:rPr>
        <w:t>第二章 专家的入库遴选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jc w:val="left"/>
        <w:textAlignment w:val="auto"/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第五条 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专家库实行动态入库、出库管理，原则上每年调整一次，出现严重问题及时移出专家库。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专家入选专家库，采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取工作单位推荐方式向专家库管理部门提出申请，单位应当事先征得被推荐人同意。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退休人员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入选专家库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可由本人申请。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Arial" w:hint="eastAsia"/>
          <w:color w:val="000000"/>
          <w:kern w:val="2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山西省生态环境厅、山西省自然资源厅根据实际需求，可邀请相关领域专家入库。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第六条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入选专家库的专家应当具备下列条件：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（一）具有良好职业道德，能坚持科学、客观、公正、高效、廉洁的评审原则，做出独立、公平、公正的判断和评价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。</w:t>
      </w:r>
    </w:p>
    <w:p>
      <w:pPr>
        <w:spacing w:line="56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（二）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具有相关的专业素质，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熟悉土壤环境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、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地下水环境污染防治相关法律法规、政策、标准和规范，掌握建设用地土壤污染状况调查、风险评估、风险管控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/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修复、风险管控及修复效果评估的技术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评审指南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等相关要求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。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（三）从事建设用地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highlight w:val="auto"/>
        </w:rPr>
        <w:t>土壤或地下水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污染防治规划、污染调查监测、风险评估、风险管控、治理修复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、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风险管控和修复效果评估及相关技术文件评审；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highlight w:val="auto"/>
        </w:rPr>
        <w:t>从事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val="en-US" w:eastAsia="zh-CN"/>
          <w:highlight w:val="auto"/>
        </w:rPr>
        <w:t>有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highlight w:val="auto"/>
        </w:rPr>
        <w:t>色金属冶炼、石油加工、化工、焦化、电镀、制革等行业领域内污染防治工作五年以上；且具有高级专业技术职称或同等专业水平及以上。</w:t>
      </w:r>
    </w:p>
    <w:p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（四）健康状况良好，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highlight w:val="auto"/>
        </w:rPr>
        <w:t>能够履行专家职责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eastAsia="zh-CN"/>
          <w:highlight w:val="auto"/>
        </w:rPr>
        <w:t>、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完成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外出踏勘现场和评审工作，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highlight w:val="auto"/>
        </w:rPr>
        <w:t>年龄原则上不超过65周岁（截止2024年6月30日），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特别需要的资深权威专家年龄可适当放宽。</w:t>
      </w:r>
    </w:p>
    <w:p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（五）无违法犯罪以及违反职业道德记录；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5年内无被通报批评、暂停专家资格等不良行为记录，无因业务水平、工作态度或廉洁自律等问题存在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移出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专家库记录。</w:t>
      </w:r>
    </w:p>
    <w:p>
      <w:pPr>
        <w:spacing w:line="560" w:lineRule="exact"/>
        <w:ind w:firstLineChars="200" w:firstLine="640"/>
        <w:jc w:val="both"/>
        <w:rPr>
          <w:rFonts w:ascii="仿宋_GB2312" w:eastAsia="仿宋_GB2312" w:cs="仿宋_GB2312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（六）自愿参加评审活动，接受统一管理，自愿签订保密协议、廉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洁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承诺书等。</w:t>
      </w:r>
    </w:p>
    <w:p>
      <w:pPr>
        <w:widowControl/>
        <w:spacing w:line="560" w:lineRule="exact"/>
        <w:ind w:firstLineChars="200" w:firstLine="640"/>
        <w:jc w:val="both"/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第七条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申请入库的专家应当提供以下材料：</w:t>
      </w:r>
    </w:p>
    <w:p>
      <w:pPr>
        <w:widowControl/>
        <w:spacing w:line="560" w:lineRule="exact"/>
        <w:ind w:firstLineChars="200" w:firstLine="640"/>
        <w:jc w:val="both"/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（一）经所在单位签章（退休人员除外）的专家申请表（附件1）；</w:t>
      </w:r>
    </w:p>
    <w:p>
      <w:pPr>
        <w:widowControl/>
        <w:spacing w:line="560" w:lineRule="exact"/>
        <w:ind w:firstLineChars="200" w:firstLine="640"/>
        <w:jc w:val="both"/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（二）从事专业工作的简历材料；</w:t>
      </w:r>
    </w:p>
    <w:p>
      <w:pPr>
        <w:widowControl/>
        <w:spacing w:line="560" w:lineRule="exact"/>
        <w:ind w:firstLineChars="200" w:firstLine="640"/>
        <w:jc w:val="both"/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（三）学历证书及技术职称、职业资格证书（复印件）；</w:t>
      </w:r>
    </w:p>
    <w:p>
      <w:pPr>
        <w:widowControl/>
        <w:spacing w:line="560" w:lineRule="exact"/>
        <w:ind w:firstLineChars="200" w:firstLine="640"/>
        <w:jc w:val="both"/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（四）证明本人身份的有效证件（复印件）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；</w:t>
      </w:r>
    </w:p>
    <w:p>
      <w:pPr>
        <w:widowControl/>
        <w:spacing w:line="560" w:lineRule="exact"/>
        <w:ind w:firstLineChars="200" w:firstLine="640"/>
        <w:jc w:val="both"/>
        <w:rPr>
          <w:color w:val="000000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五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专家承诺书（附件2）。</w:t>
      </w:r>
    </w:p>
    <w:p>
      <w:pPr>
        <w:widowControl w:val="0"/>
        <w:spacing w:line="560" w:lineRule="exact"/>
        <w:ind w:firstLineChars="200" w:firstLine="640"/>
        <w:jc w:val="both"/>
        <w:rPr>
          <w:color w:val="000000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第八条</w:t>
      </w: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专家库管理部门负责对入库专家的资格进行评审，满足入库条件要求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，经公示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5个工作日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无异议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予以公告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，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并报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山西省生态环境厅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和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山西省自然资源厅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备案后，可入选专家库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。</w:t>
      </w:r>
    </w:p>
    <w:p>
      <w:pPr>
        <w:widowControl/>
        <w:spacing w:beforeLines="50" w:before="156" w:afterLines="50" w:after="156" w:line="560" w:lineRule="exact"/>
        <w:jc w:val="center"/>
        <w:rPr>
          <w:color w:val="000000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黑体" w:eastAsia="黑体" w:cs="黑体"/>
          <w:color w:val="000000"/>
          <w:kern w:val="0"/>
          <w:sz w:val="31"/>
          <w:szCs w:val="31"/>
          <w14:textFill>
            <w14:solidFill>
              <w14:srgbClr w14:val="000000"/>
            </w14:solidFill>
          </w14:textFill>
          <w:highlight w:val="auto"/>
        </w:rPr>
        <w:t>第三章 专家的权利与义务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rPr>
          <w:rFonts w:ascii="仿宋_GB2312" w:eastAsia="仿宋_GB2312" w:cs="仿宋_GB2312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第九条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专家享有下列权利：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rPr>
          <w:rFonts w:ascii="仿宋_GB2312" w:eastAsia="仿宋_GB2312" w:cs="仿宋_GB2312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（一）自愿加入和退出专家库；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rPr>
          <w:rFonts w:ascii="仿宋_GB2312" w:eastAsia="仿宋_GB2312" w:cs="仿宋_GB2312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（二）对所评审的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技术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文件及相关情况的知情权；对所负责审查的相关技术报告和现场踏勘情况独立发表意见，不受任何单位或者个人的干预；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rPr>
          <w:rFonts w:ascii="仿宋_GB2312" w:eastAsia="仿宋_GB2312" w:cs="仿宋_GB2312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（三）完成评审工作后按照规定获得相应的专家咨询费；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rPr>
          <w:rFonts w:ascii="仿宋_GB2312" w:eastAsia="仿宋_GB2312" w:cs="仿宋_GB2312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（四）向主管部门提出意见和建议；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rPr>
          <w:rFonts w:ascii="仿宋_GB2312" w:eastAsia="仿宋_GB2312" w:cs="仿宋_GB2312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（五）法律、法规和规章规定的其他权利。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第十条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专家承担以下义务：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（一）在职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人员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在承担技术评审工作前，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须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征得所在单位同意；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（二）对参加的技术评审工作认真对待，提前研阅技术评审相关材料，及时提供客观、公正、具体、明确的书面意见，并对所提的书面和口头意见负责；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（三）严格遵守保密规定。不得泄露在参与技术评审工作过程中知悉的国家秘密、工作秘密、商业秘密（含技术秘密）以及其他不宜公开的信息；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所参与的评审工作的成果和有关资料，不得以任何形式发表、转交他人或外传；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（四）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严格遵守回避规定。本人参与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所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评审项目技术文件编制的，本人与土地所有权人（或土壤污染责任人）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、文件编制单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位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施工单位、监理单位（以下简称“利益相关单位”）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负责人或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技术文件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编制人员有夫妻、直系血亲、三代以内旁系血亲以及近姻亲关系的，所在单位牵头或参与编制评审项目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技术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文件的，须主动提出回避；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rPr>
          <w:rFonts w:ascii="仿宋_GB2312" w:eastAsia="仿宋_GB2312" w:cs="仿宋_GB2312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（五）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按时参加评审，特殊情况不能参加评审的，应及时告知技术评审机构，不得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利用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线上（或线下）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等方式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同时参加其他项目的技术评审活动；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（六）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参加技术评审的专家应在技术文件报请省生态环境厅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审核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前，协助其核实技术文件修改情况，确保满足质量要求；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rPr>
          <w:rFonts w:ascii="仿宋_GB2312" w:eastAsia="仿宋_GB2312" w:cs="仿宋_GB2312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（七）接受有关监督、考核和管理；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rPr>
          <w:rFonts w:ascii="仿宋_GB2312" w:eastAsia="仿宋_GB2312" w:cs="仿宋_GB2312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（八）法律、法规和规章规定的其他相关义务。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第十一条 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专家在参与技术评审工作中应严格遵守廉洁纪律和职业道德规范。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rPr>
          <w:rFonts w:ascii="仿宋_GB2312" w:eastAsia="仿宋_GB2312" w:cs="仿宋_GB2312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（一）专家咨询费由技术评审机构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根据省财政厅发布的科研项目经费管理相关规定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予以发放。禁止收受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利益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相关单位及其工作人员给予、赠送的礼品、礼金、有价证券、购物卡等；</w:t>
      </w:r>
    </w:p>
    <w:p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（二）禁止参加与评审有关的相关单位组织的营业性娱乐活动或旅游等；</w:t>
      </w:r>
    </w:p>
    <w:p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（三）禁止在与评审有关的相关单位报销应由个人支付的费用；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（四）禁止利用评审工作之便招揽工程、谋取不正当利益，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不得在技术文件评审修改过程中，刁难企业、吃拿卡要，向土地所有权人（或土壤污染责任人）承揽业务；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（五）不得在技术评审工作中有明显的偏袒或者歧视现象，干预、影响评审过程和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结果；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（六）不得利用评审工作之便向土地所有权人（或土壤污染责任人）推荐、指定技术单位，推销环保产品，引荐环保设计、环保设施运营等单位，参与有偿中介活动；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（七）不得出具模糊笼统、缺乏针对性的专家意见，不得对明显存在严重质量问题的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技术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文件出具同意通过评审的意见。</w:t>
      </w:r>
    </w:p>
    <w:p>
      <w:pPr>
        <w:widowControl/>
        <w:spacing w:beforeLines="50" w:before="156" w:afterLines="50" w:after="156" w:line="560" w:lineRule="exact"/>
        <w:jc w:val="center"/>
        <w:rPr>
          <w:rFonts w:ascii="黑体" w:eastAsia="黑体" w:cs="黑体"/>
          <w:color w:val="000000"/>
          <w:kern w:val="0"/>
          <w:sz w:val="31"/>
          <w:szCs w:val="31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黑体" w:eastAsia="黑体" w:cs="黑体"/>
          <w:color w:val="000000"/>
          <w:kern w:val="0"/>
          <w:sz w:val="31"/>
          <w:szCs w:val="31"/>
          <w14:textFill>
            <w14:solidFill>
              <w14:srgbClr w14:val="000000"/>
            </w14:solidFill>
          </w14:textFill>
          <w:highlight w:val="auto"/>
        </w:rPr>
        <w:t>第四章 专家库的使用和管理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第十二条 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参加技术评审工作的专家人选，应严格按照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单一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行业领域+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单一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专业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领域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从专家库系统中随机抽取，征得专家本人同意后确定评审专家。参与项目评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审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的专家应来自不同单位。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如有特殊需要，可在库外临时选用专家，库外选用专家人数不得超过所聘请专家总数的三分之一，库外临时选聘专家的应书面说明理由并存档备查。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第十</w:t>
      </w: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三</w:t>
      </w: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条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专家库实行动态管理、定期调整，并公布调整结果。如在库专家职称、单位、业绩成果有变动时，应及时进行信息申报，专家信息档案应及时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更新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。</w:t>
      </w:r>
    </w:p>
    <w:p>
      <w:pPr>
        <w:widowControl/>
        <w:spacing w:line="240" w:lineRule="auto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第十</w:t>
      </w: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四</w:t>
      </w: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条 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入库专家具有下列第（一）（二）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三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种情形之一的，予以调整出库；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（一）专家年龄达到7</w:t>
      </w:r>
      <w:r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0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岁或因身体原因不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宜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再胜任技术评审工作的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；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（二）本人申请不再担任专家的；</w:t>
      </w:r>
    </w:p>
    <w:p>
      <w:pPr>
        <w:widowControl/>
        <w:spacing w:line="240" w:lineRule="auto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三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不满足第六条规定的。</w:t>
      </w:r>
    </w:p>
    <w:p>
      <w:pPr>
        <w:widowControl/>
        <w:spacing w:line="240" w:lineRule="auto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第十五条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入库专家具有下列第（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一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）至（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三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）种情形之一的，予以警告，情节严重的，取消其在库资格并予以通报，且2年内不得再次申请入库；具有下列第（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四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）至（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六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）种情形之一的，取消其在库资格并予以通报，且5年内不得再次申请入库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；</w:t>
      </w:r>
      <w:r>
        <w:rPr>
          <w:rFonts w:ascii="仿宋_GB2312" w:eastAsia="仿宋_GB2312" w:cs="Arial" w:hint="eastAsia"/>
          <w:color w:val="000000"/>
          <w:kern w:val="2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违反国家有关法律规定的，依法追究法律责任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。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一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）被选定并已接受邀请参加技术评审的专家，一年内无正当理由不踏勘现场或者不参加技术评审会议两次以上的；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二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）参与技术评审时，在评审会上未执行一次性告知，在评审会后再次提出修改意见，一年内发生两次以上的；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（三）未严格按照程序和规范要求开展技术评审工作，个人出具的专家意见不认真负责，缺乏针对性，遗漏项目关键内容或重大环境问题，致使技术文件存在严重质量问题或者重大质量纰漏的；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四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）参与技术评审时，在规定的咨询服务费外，违反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第十一条廉洁纪律和职业道德规范规定的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；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五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）与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利益相关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单位存在利益关系或者利害关系，在参与技术评审时未主动提出回避的；</w:t>
      </w:r>
    </w:p>
    <w:p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六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）泄露在技术评审过程中知悉的技术秘密、商业秘密以及其他不宜公开信息的。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第十</w:t>
      </w: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六</w:t>
      </w: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条 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专家库建立痕迹管理机制。专家抽取和技术文件日常考核表填报等应全程留痕，做到相关记录可查询、可追溯。</w:t>
      </w:r>
    </w:p>
    <w:p>
      <w:pPr>
        <w:widowControl/>
        <w:spacing w:beforeLines="50" w:before="156" w:afterLines="50" w:after="156" w:line="560" w:lineRule="exact"/>
        <w:jc w:val="center"/>
        <w:rPr>
          <w:rFonts w:ascii="黑体" w:eastAsia="黑体" w:cs="黑体"/>
          <w:color w:val="000000"/>
          <w:kern w:val="0"/>
          <w:sz w:val="31"/>
          <w:szCs w:val="31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黑体" w:eastAsia="黑体" w:cs="黑体"/>
          <w:color w:val="000000"/>
          <w:kern w:val="0"/>
          <w:sz w:val="31"/>
          <w:szCs w:val="31"/>
          <w14:textFill>
            <w14:solidFill>
              <w14:srgbClr w14:val="000000"/>
            </w14:solidFill>
          </w14:textFill>
          <w:highlight w:val="auto"/>
        </w:rPr>
        <w:t>第五章 附则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第十</w:t>
      </w: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七</w:t>
      </w: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条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本办法由山西省生态环境厅负责解释。</w:t>
      </w:r>
    </w:p>
    <w:p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第十</w:t>
      </w: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八</w:t>
      </w: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条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本办法自印发之日起施行。</w:t>
      </w:r>
    </w:p>
    <w:p>
      <w:pPr>
        <w:spacing w:line="560" w:lineRule="exact"/>
        <w:rPr>
          <w:rFonts w:ascii="仿宋_GB2312" w:eastAsia="仿宋_GB2312" w:cs="仿宋_GB2312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br w:type="page"/>
      </w:r>
    </w:p>
    <w:p>
      <w:pPr>
        <w:spacing w:line="500" w:lineRule="exact"/>
        <w:rPr>
          <w:rFonts w:ascii="黑体" w:eastAsia="黑体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黑体" w:eastAsia="黑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附件1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方正小标宋简体" w:eastAsia="方正小标宋简体" w:hint="eastAsia"/>
          <w:color w:val="000000"/>
          <w:sz w:val="36"/>
          <w:szCs w:val="32"/>
          <w14:textFill>
            <w14:solidFill>
              <w14:srgbClr w14:val="000000"/>
            </w14:solidFill>
          </w14:textFill>
          <w:highlight w:val="auto"/>
        </w:rPr>
        <w:t>专家</w:t>
      </w:r>
      <w:r>
        <w:rPr>
          <w:rFonts w:ascii="方正小标宋简体" w:eastAsia="方正小标宋简体" w:hint="eastAsia"/>
          <w:color w:val="000000"/>
          <w:sz w:val="36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入库</w:t>
      </w:r>
      <w:r>
        <w:rPr>
          <w:rFonts w:ascii="方正小标宋简体" w:eastAsia="方正小标宋简体" w:hint="eastAsia"/>
          <w:color w:val="000000"/>
          <w:sz w:val="36"/>
          <w:szCs w:val="32"/>
          <w14:textFill>
            <w14:solidFill>
              <w14:srgbClr w14:val="000000"/>
            </w14:solidFill>
          </w14:textFill>
          <w:highlight w:val="auto"/>
        </w:rPr>
        <w:t>申请表</w:t>
      </w:r>
    </w:p>
    <w:tbl>
      <w:tblPr>
        <w:jc w:val="left"/>
        <w:tblInd w:w="0" w:type="dxa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724"/>
        <w:gridCol w:w="1360"/>
        <w:gridCol w:w="1665"/>
        <w:gridCol w:w="1830"/>
      </w:tblGrid>
      <w:tr>
        <w:trPr>
          <w:trHeight w:val="589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姓   名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性别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寸红底照片</w:t>
            </w:r>
          </w:p>
        </w:tc>
      </w:tr>
      <w:tr>
        <w:trPr>
          <w:trHeight w:val="68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出生年月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健康状况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68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工作单位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是否在职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68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职务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职称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</w:tc>
      </w:tr>
      <w:tr>
        <w:trPr>
          <w:trHeight w:val="68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学历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学位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</w:tc>
      </w:tr>
      <w:tr>
        <w:trPr>
          <w:trHeight w:val="68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现从事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专业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从事时间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</w:tc>
      </w:tr>
      <w:tr>
        <w:trPr>
          <w:trHeight w:val="68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联系电话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（固话或手机）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电子邮箱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</w:tc>
      </w:tr>
      <w:tr>
        <w:trPr>
          <w:trHeight w:val="68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通讯地址及邮编</w:t>
            </w:r>
          </w:p>
        </w:tc>
        <w:tc>
          <w:tcPr>
            <w:tcW w:w="4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</w:tc>
      </w:tr>
      <w:tr>
        <w:trPr>
          <w:trHeight w:val="2131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熟悉的专业</w:t>
            </w: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方向</w:t>
            </w: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（不超过3项）</w:t>
            </w:r>
          </w:p>
        </w:tc>
        <w:tc>
          <w:tcPr>
            <w:tcW w:w="4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80" w:lineRule="exact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 xml:space="preserve">□土壤/地下水污染防治及政策研究 </w:t>
            </w:r>
            <w:r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 xml:space="preserve">□土壤/地下水污染调查与风险评估   □土壤/地下水污染风险管控与治理修复 </w:t>
            </w:r>
            <w:r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 xml:space="preserve">□土壤/地下水环境监测与应急管理   □土壤/地下水风险管控与修复效果评估及验收 </w:t>
            </w:r>
            <w:r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□土壤/地下水修复工程施工及管理</w:t>
            </w:r>
          </w:p>
        </w:tc>
      </w:tr>
      <w:tr>
        <w:trPr>
          <w:trHeight w:val="1708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行业领域</w:t>
            </w:r>
          </w:p>
          <w:p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（限选八项）</w:t>
            </w:r>
          </w:p>
        </w:tc>
        <w:tc>
          <w:tcPr>
            <w:tcW w:w="4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480" w:lineRule="exact"/>
              <w:rPr>
                <w:rFonts w:ascii="仿宋_GB2312" w:eastAsia="仿宋_GB2312"/>
                <w:bCs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□石油和天然气开采 □石油、煤炭及其他燃料加工（</w:t>
            </w:r>
            <w:r>
              <w:rPr>
                <w:rFonts w:ascii="仿宋_GB2312" w:eastAsia="仿宋_GB2312" w:hint="eastAsia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 xml:space="preserve">精制石油产品制造  </w:t>
            </w:r>
            <w:r>
              <w:rPr>
                <w:rFonts w:ascii="仿宋_GB2312" w:eastAsia="仿宋_GB2312" w:hint="eastAsia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□炼焦 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 xml:space="preserve">煤制合成气和液体燃料生产  </w:t>
            </w:r>
            <w:r>
              <w:rPr>
                <w:rFonts w:ascii="仿宋_GB2312" w:eastAsia="仿宋_GB2312" w:hint="eastAsia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生物质燃料加工） 化学原料及化学制品制造（</w:t>
            </w:r>
            <w:r>
              <w:rPr>
                <w:rFonts w:ascii="仿宋_GB2312" w:eastAsia="仿宋_GB2312" w:hint="eastAsia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无机酸、</w:t>
            </w:r>
            <w:r>
              <w:rPr>
                <w:rFonts w:ascii="仿宋_GB2312" w:eastAsia="仿宋_GB2312" w:hint="eastAsia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无机碱、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 xml:space="preserve">无机盐制造  </w:t>
            </w:r>
            <w:r>
              <w:rPr>
                <w:rFonts w:ascii="仿宋_GB2312" w:eastAsia="仿宋_GB2312" w:hint="eastAsia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 xml:space="preserve">有机化学原料制造  </w:t>
            </w:r>
            <w:r>
              <w:rPr>
                <w:rFonts w:ascii="仿宋_GB2312" w:eastAsia="仿宋_GB2312" w:hint="eastAsia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□肥料制造  □农药制造  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 xml:space="preserve">涂料、油墨、颜料及类似产品制造  </w:t>
            </w:r>
            <w:r>
              <w:rPr>
                <w:rFonts w:ascii="仿宋_GB2312" w:eastAsia="仿宋_GB2312" w:hint="eastAsia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□合成材料制造  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 xml:space="preserve">专用化学品制造  </w:t>
            </w:r>
            <w:r>
              <w:rPr>
                <w:rFonts w:ascii="仿宋_GB2312" w:eastAsia="仿宋_GB2312" w:hint="eastAsia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 xml:space="preserve">炸药、火工及焰火产品制造  </w:t>
            </w:r>
            <w:r>
              <w:rPr>
                <w:rFonts w:ascii="仿宋_GB2312" w:eastAsia="仿宋_GB2312" w:hint="eastAsia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 xml:space="preserve">日用化学产品制造） □医药制造 □化学纤维制造 □橡胶和塑料制品 </w:t>
            </w:r>
            <w:r>
              <w:rPr>
                <w:rFonts w:ascii="仿宋_GB2312" w:eastAsia="仿宋_GB2312" w:hint="eastAsia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有色金属冶炼及压延加工 □废弃资源综合利用 □燃气生产和供应  □研究和试验发展 生态保护和环境治理（</w:t>
            </w:r>
            <w:r>
              <w:rPr>
                <w:rFonts w:ascii="仿宋_GB2312" w:eastAsia="仿宋_GB2312" w:hint="eastAsia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□一般固废集中处置  □危险废物集中处置  □医疗废物处置、病死及病害动物处理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）</w:t>
            </w:r>
            <w:r>
              <w:rPr>
                <w:rFonts w:ascii="仿宋_GB2312" w:eastAsia="仿宋_GB2312" w:hint="eastAsia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公共设施管理（</w:t>
            </w:r>
            <w:r>
              <w:rPr>
                <w:rFonts w:ascii="仿宋_GB2312" w:eastAsia="仿宋_GB2312" w:hint="eastAsia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生活垃圾转运、集中处置） 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 xml:space="preserve">卫生  </w:t>
            </w:r>
            <w:r>
              <w:rPr>
                <w:rFonts w:ascii="仿宋_GB2312" w:eastAsia="仿宋_GB2312" w:hint="eastAsia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□其他（注明具体行业领域）</w:t>
            </w:r>
          </w:p>
        </w:tc>
      </w:tr>
      <w:tr>
        <w:trPr>
          <w:trHeight w:val="218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专业领域</w:t>
            </w:r>
          </w:p>
          <w:p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（限选三项）</w:t>
            </w:r>
          </w:p>
        </w:tc>
        <w:tc>
          <w:tcPr>
            <w:tcW w:w="4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adjustRightInd w:val="0"/>
              <w:spacing w:line="480" w:lineRule="exact"/>
              <w:rPr>
                <w:rFonts w:ascii="仿宋_GB2312" w:eastAsia="仿宋_GB2312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□地表水环境  □地下水环境  □环境风险 □环境监测  □电磁辐射  环境工程（□废水  □废气  □固体废物）  环境管理（□环境影响评价管理  □排污许可  □环境执法  □环境信息）</w:t>
            </w:r>
          </w:p>
          <w:p>
            <w:pPr>
              <w:adjustRightInd w:val="0"/>
              <w:spacing w:line="480" w:lineRule="exact"/>
              <w:rPr>
                <w:rFonts w:ascii="仿宋_GB2312" w:eastAsia="仿宋_GB2312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□环境地质  □水文地质  □其他（注明具体专业领域）</w:t>
            </w:r>
          </w:p>
        </w:tc>
      </w:tr>
      <w:tr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个人简介</w:t>
            </w:r>
          </w:p>
        </w:tc>
      </w:tr>
      <w:tr>
        <w:trPr>
          <w:trHeight w:val="281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pacing w:line="460" w:lineRule="exact"/>
              <w:rPr>
                <w:rFonts w:ascii="仿宋_GB2312" w:eastAsia="仿宋_GB2312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（教育背景（大学以上）、工作经历、主要成果，不超过800字）</w:t>
            </w:r>
          </w:p>
          <w:p>
            <w:pPr>
              <w:adjustRightInd w:val="0"/>
              <w:spacing w:line="460" w:lineRule="exact"/>
              <w:rPr>
                <w:rFonts w:ascii="仿宋_GB2312" w:eastAsia="仿宋_GB2312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  <w:p>
            <w:pPr>
              <w:adjustRightInd w:val="0"/>
              <w:spacing w:line="460" w:lineRule="exact"/>
              <w:rPr>
                <w:rFonts w:ascii="仿宋_GB2312" w:eastAsia="仿宋_GB2312"/>
                <w:color w:val="000000"/>
                <w:sz w:val="24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</w:tc>
      </w:tr>
      <w:tr>
        <w:trPr>
          <w:trHeight w:val="5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近5年来主要工作业绩和成果</w:t>
            </w:r>
          </w:p>
        </w:tc>
      </w:tr>
      <w:tr>
        <w:trPr>
          <w:trHeight w:val="43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</w:tc>
      </w:tr>
      <w:tr>
        <w:trPr>
          <w:trHeight w:val="4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专家承诺</w:t>
            </w:r>
          </w:p>
        </w:tc>
      </w:tr>
      <w:tr>
        <w:trPr>
          <w:trHeight w:val="32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Lines="50" w:before="156" w:line="480" w:lineRule="exact"/>
              <w:ind w:firstLineChars="200" w:firstLine="480"/>
              <w:jc w:val="left"/>
              <w:rPr>
                <w:rFonts w:ascii="仿宋_GB2312" w:eastAsia="仿宋_GB2312"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本人承诺所填报内容真实有效，愿意按照山西省土壤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和地下水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污染防治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专家库管理办法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>要求履行专家职责，在参与监督检查、评审论证工作中做到认真、负责、科学、客观、公正，严格遵守有关规定。</w:t>
            </w:r>
          </w:p>
          <w:p>
            <w:pPr>
              <w:wordWrap w:val="0"/>
              <w:spacing w:beforeLines="100" w:before="312"/>
              <w:ind w:firstLineChars="200" w:firstLine="480"/>
              <w:jc w:val="right"/>
              <w:rPr>
                <w:rFonts w:ascii="仿宋_GB2312" w:eastAsia="仿宋_GB2312"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 xml:space="preserve">专家签字：              </w:t>
            </w:r>
          </w:p>
          <w:p>
            <w:pPr>
              <w:wordWrap w:val="0"/>
              <w:spacing w:beforeLines="50" w:before="156"/>
              <w:ind w:firstLineChars="200" w:firstLine="480"/>
              <w:jc w:val="right"/>
              <w:rPr>
                <w:rFonts w:ascii="仿宋_GB2312" w:eastAsia="仿宋_GB2312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 xml:space="preserve">年   月   日 </w:t>
            </w:r>
          </w:p>
        </w:tc>
      </w:tr>
      <w:tr>
        <w:trPr>
          <w:trHeight w:val="52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推荐单位意见</w:t>
            </w:r>
          </w:p>
        </w:tc>
      </w:tr>
      <w:tr>
        <w:trPr>
          <w:trHeight w:val="32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Lines="50" w:before="156" w:line="360" w:lineRule="auto"/>
              <w:ind w:firstLineChars="200" w:firstLine="480"/>
              <w:jc w:val="left"/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同意推荐该同志加入山西省土壤</w:t>
            </w: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和地下水</w:t>
            </w:r>
            <w:r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>污染防治专家库。</w:t>
            </w:r>
          </w:p>
          <w:p>
            <w:pPr>
              <w:spacing w:beforeLines="50" w:before="156" w:line="360" w:lineRule="auto"/>
              <w:ind w:firstLineChars="200" w:firstLine="480"/>
              <w:jc w:val="left"/>
              <w:rPr>
                <w:rFonts w:ascii="仿宋_GB2312" w:eastAsia="仿宋_GB2312" w:hint="eastAsia"/>
                <w:color w:val="000000"/>
                <w:sz w:val="24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before="312" w:line="400" w:lineRule="exact"/>
              <w:ind w:firstLineChars="2100" w:firstLine="5040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highlight w:val="auto"/>
              </w:rPr>
              <w:t xml:space="preserve">推荐单位盖章：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highlight w:val="auto"/>
              </w:rPr>
              <w:t xml:space="preserve">年   月   日  </w:t>
            </w:r>
          </w:p>
        </w:tc>
      </w:tr>
    </w:tbl>
    <w:p>
      <w:pPr>
        <w:adjustRightInd w:val="0"/>
        <w:spacing w:line="460" w:lineRule="exact"/>
        <w:ind w:firstLineChars="200" w:firstLine="480"/>
        <w:jc w:val="left"/>
        <w:rPr>
          <w:rFonts w:ascii="仿宋_GB2312" w:eastAsia="仿宋_GB2312"/>
          <w:color w:val="000000"/>
          <w:sz w:val="24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24"/>
          <w14:textFill>
            <w14:solidFill>
              <w14:srgbClr w14:val="000000"/>
            </w14:solidFill>
          </w14:textFill>
          <w:highlight w:val="auto"/>
        </w:rPr>
        <w:t>相关证明材料:</w:t>
      </w:r>
    </w:p>
    <w:p>
      <w:pPr>
        <w:adjustRightInd w:val="0"/>
        <w:spacing w:line="460" w:lineRule="exact"/>
        <w:ind w:firstLineChars="200" w:firstLine="480"/>
        <w:jc w:val="left"/>
        <w:outlineLvl w:val="9"/>
        <w:rPr>
          <w:rFonts w:ascii="仿宋_GB2312" w:eastAsia="仿宋_GB2312" w:hint="eastAsia"/>
          <w:color w:val="000000"/>
          <w:sz w:val="24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24"/>
          <w14:textFill>
            <w14:solidFill>
              <w14:srgbClr w14:val="000000"/>
            </w14:solidFill>
          </w14:textFill>
          <w:highlight w:val="auto"/>
        </w:rPr>
        <w:t>1.身份证复印件扫描件;2.技术职称证书扫描件;3.退休证明(仅退休人员提供)。</w:t>
      </w:r>
    </w:p>
    <w:p>
      <w:pPr>
        <w:adjustRightInd/>
        <w:spacing w:line="240" w:lineRule="auto"/>
        <w:ind w:firstLine="0"/>
        <w:jc w:val="left"/>
        <w:outlineLvl w:val="9"/>
        <w:rPr>
          <w:rFonts w:ascii="仿宋_GB2312" w:eastAsia="仿宋_GB2312" w:hint="eastAsia"/>
          <w:color w:val="000000"/>
          <w:sz w:val="24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24"/>
          <w14:textFill>
            <w14:solidFill>
              <w14:srgbClr w14:val="000000"/>
            </w14:solidFill>
          </w14:textFill>
          <w:highlight w:val="auto"/>
        </w:rPr>
        <w:br w:type="page"/>
      </w:r>
    </w:p>
    <w:p>
      <w:pPr>
        <w:adjustRightInd w:val="0"/>
        <w:spacing w:line="460" w:lineRule="exact"/>
        <w:jc w:val="left"/>
        <w:outlineLvl w:val="0"/>
        <w:rPr>
          <w:rFonts w:ascii="黑体" w:eastAsia="黑体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黑体" w:eastAsia="黑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附件2</w:t>
      </w:r>
    </w:p>
    <w:p>
      <w:pPr>
        <w:snapToGrid w:val="0"/>
        <w:jc w:val="center"/>
        <w:rPr>
          <w:rFonts w:ascii="方正小标宋简体" w:eastAsia="方正小标宋简体"/>
          <w:bCs/>
          <w:color w:val="000000"/>
          <w:sz w:val="36"/>
          <w:szCs w:val="44"/>
          <w14:textFill>
            <w14:solidFill>
              <w14:srgbClr w14:val="000000"/>
            </w14:solidFill>
          </w14:textFill>
          <w:highlight w:val="auto"/>
        </w:rPr>
      </w:pPr>
    </w:p>
    <w:p>
      <w:pPr>
        <w:snapToGrid w:val="0"/>
        <w:jc w:val="center"/>
        <w:rPr>
          <w:rFonts w:ascii="方正小标宋简体" w:eastAsia="方正小标宋简体"/>
          <w:bCs/>
          <w:color w:val="000000"/>
          <w:sz w:val="40"/>
          <w:szCs w:val="44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方正小标宋简体" w:eastAsia="方正小标宋简体"/>
          <w:bCs/>
          <w:color w:val="000000"/>
          <w:sz w:val="40"/>
          <w:szCs w:val="44"/>
          <w14:textFill>
            <w14:solidFill>
              <w14:srgbClr w14:val="000000"/>
            </w14:solidFill>
          </w14:textFill>
          <w:highlight w:val="auto"/>
        </w:rPr>
        <w:t>专家</w:t>
      </w:r>
      <w:r>
        <w:rPr>
          <w:rFonts w:ascii="方正小标宋简体" w:eastAsia="方正小标宋简体" w:hint="eastAsia"/>
          <w:bCs/>
          <w:color w:val="000000"/>
          <w:sz w:val="40"/>
          <w:szCs w:val="44"/>
          <w14:textFill>
            <w14:solidFill>
              <w14:srgbClr w14:val="000000"/>
            </w14:solidFill>
          </w14:textFill>
          <w:highlight w:val="auto"/>
        </w:rPr>
        <w:t>承诺书</w:t>
      </w:r>
    </w:p>
    <w:p>
      <w:pPr>
        <w:snapToGrid w:val="0"/>
        <w:jc w:val="center"/>
        <w:rPr>
          <w:rFonts w:ascii="方正小标宋简体" w:eastAsia="方正小标宋简体"/>
          <w:bCs/>
          <w:color w:val="000000"/>
          <w:sz w:val="36"/>
          <w:szCs w:val="44"/>
          <w14:textFill>
            <w14:solidFill>
              <w14:srgbClr w14:val="000000"/>
            </w14:solidFill>
          </w14:textFill>
          <w:highlight w:val="auto"/>
        </w:rPr>
      </w:pPr>
    </w:p>
    <w:p>
      <w:pPr>
        <w:spacing w:line="62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u w:val="single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入选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山西省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土壤和地下水污染防治专家库，我将认真学习</w:t>
      </w:r>
      <w:r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贯彻落实习近平生态文明思想，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严格遵守并认真执行专家库各项规章制度，并作出</w:t>
      </w:r>
      <w:r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如下承诺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：</w:t>
      </w:r>
    </w:p>
    <w:p>
      <w:pPr>
        <w:spacing w:line="620" w:lineRule="exact"/>
        <w:ind w:firstLineChars="200" w:firstLine="640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1.忠于职守，客观公正。在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土壤和地下水相关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技术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文件评审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工作中坚持原则，</w:t>
      </w:r>
      <w:r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不受任何权势、利益主体和人情的左右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，科学、公正地提供咨询；在评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审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项目与专家利益相关或可能使专家失去公正性和客观性时，主动回避参与该项目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评审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。</w:t>
      </w:r>
    </w:p>
    <w:p>
      <w:pPr>
        <w:spacing w:line="620" w:lineRule="exact"/>
        <w:ind w:firstLineChars="200" w:firstLine="640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2.科学严谨，谨言慎行。技术评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审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会前认真研读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技术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文件并严格把关；会前起草书面意见，意见明确、具体，并对提出的意见负责；不对外泄露国家秘密、工作秘密、商业秘密（含技术秘密）以及尚未公开的评估信息。</w:t>
      </w:r>
    </w:p>
    <w:p>
      <w:pPr>
        <w:spacing w:line="6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3.克己奉公，廉洁自律。不收取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利益相关方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给予的礼金、有价证券、银行卡、购物卡等；不参加利益相关方组织的营业性娱乐活动和旅游；不在利益相关方报销应由个人支付的费用。</w:t>
      </w:r>
    </w:p>
    <w:p>
      <w:pPr>
        <w:tabs>
          <w:tab w:val="left" w:pos="6019"/>
        </w:tabs>
        <w:spacing w:line="6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ab/>
      </w:r>
    </w:p>
    <w:p>
      <w:pPr>
        <w:spacing w:line="6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</w:p>
    <w:p>
      <w:pPr>
        <w:spacing w:line="620" w:lineRule="exact"/>
        <w:ind w:firstLineChars="55" w:firstLine="176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                                </w:t>
      </w:r>
      <w:r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 签名：</w:t>
      </w:r>
    </w:p>
    <w:p>
      <w:pPr>
        <w:adjustRightInd w:val="0"/>
        <w:spacing w:line="460" w:lineRule="exact"/>
        <w:ind w:firstLineChars="200" w:firstLine="640"/>
        <w:jc w:val="left"/>
        <w:outlineLvl w:val="9"/>
        <w:rPr>
          <w:rFonts w:ascii="仿宋_GB2312" w:eastAsia="仿宋_GB2312"/>
          <w:color w:val="000000"/>
          <w:sz w:val="24"/>
          <w14:textFill>
            <w14:solidFill>
              <w14:srgbClr w14:val="000000"/>
            </w14:solidFill>
          </w14:textFill>
          <w:lang w:val="en-US" w:eastAsia="zh-CN"/>
          <w:highlight w:val="auto"/>
        </w:rPr>
      </w:pPr>
      <w:r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                   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 xml:space="preserve">             </w:t>
      </w:r>
      <w:r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        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年 </w:t>
      </w:r>
      <w:r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月 </w:t>
      </w:r>
      <w:r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日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 xml:space="preserve">  </w:t>
      </w:r>
    </w:p>
    <w:sectPr>
      <w:footerReference w:type="default" r:id="rId2"/>
      <w:pgSz w:w="11906" w:h="16838"/>
      <w:pgMar w:top="1757" w:right="1474" w:bottom="1587" w:left="1474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2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95325" cy="226942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95325" cy="226942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/>
                              <w:sz w:val="24"/>
                            </w:rPr>
                          </w:pPr>
                          <w:r>
                            <w:rPr>
                              <w:rFonts w:asci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4"/>
                            </w:rPr>
                            <w:t>- 12 -</w:t>
                          </w:r>
                          <w:r>
                            <w:rPr>
                              <w:rFonts w:ascii="宋体" w:eastAsia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422.772pt;margin-top:0.0pt;width:31.128004pt;height:17.869448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/>
                        <w:sz w:val="24"/>
                      </w:rPr>
                    </w:pPr>
                    <w:r>
                      <w:rPr>
                        <w:rFonts w:asci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asci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4"/>
                      </w:rPr>
                      <w:t>- 12 -</w:t>
                    </w:r>
                    <w:r>
                      <w:rPr>
                        <w:rFonts w:ascii="宋体" w:eastAsia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 w:val="0"/>
  <w:bordersDoNotSurroundFooter w:val="0"/>
  <w:trackRevisions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NTk3YWIxNjI2ZmNlMjk3NzljNTIwMDcwY2RjMzRhNz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8">
    <w:name w:val="annotation reference"/>
    <w:basedOn w:val="1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271</TotalTime>
  <Application>Yozo_Office27021597764231179</Application>
  <Pages>11</Pages>
  <Words>4414</Words>
  <Characters>4430</Characters>
  <Lines>273</Lines>
  <Paragraphs>117</Paragraphs>
  <CharactersWithSpaces>4753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greatwall</cp:lastModifiedBy>
  <cp:revision>2</cp:revision>
  <cp:lastPrinted>2024-11-15T08:07:00Z</cp:lastPrinted>
  <dcterms:created xsi:type="dcterms:W3CDTF">2024-07-27T09:06:00Z</dcterms:created>
  <dcterms:modified xsi:type="dcterms:W3CDTF">2024-11-27T08:01:12Z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2052-12.1.0.18240</vt:lpwstr>
  </property>
  <property fmtid="{D5CDD505-2E9C-101B-9397-08002B2CF9AE}" pid="3" name="ICV">
    <vt:lpwstr>94F7BF7E25EC1FD785BD3667B8FE9D06_43</vt:lpwstr>
  </property>
</Properties>
</file>