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429C2">
      <w:pPr>
        <w:topLinePunct/>
        <w:autoSpaceDE w:val="0"/>
        <w:jc w:val="center"/>
        <w:rPr>
          <w:rFonts w:hint="eastAsia" w:ascii="宋体" w:hAnsi="宋体"/>
          <w:sz w:val="30"/>
          <w:szCs w:val="30"/>
        </w:rPr>
      </w:pPr>
    </w:p>
    <w:p w14:paraId="464D31DC">
      <w:pPr>
        <w:topLinePunct/>
        <w:autoSpaceDE w:val="0"/>
        <w:spacing w:line="240" w:lineRule="auto"/>
        <w:ind w:firstLine="3304" w:firstLineChars="1097"/>
        <w:rPr>
          <w:rFonts w:hint="eastAsia" w:ascii="宋体" w:hAnsi="宋体" w:eastAsia="宋体" w:cs="Times New Roman"/>
          <w:b/>
          <w:sz w:val="30"/>
          <w:szCs w:val="30"/>
        </w:rPr>
      </w:pPr>
      <w:r>
        <w:rPr>
          <w:rFonts w:hint="eastAsia" w:ascii="宋体" w:hAnsi="宋体" w:eastAsia="宋体" w:cs="Times New Roman"/>
          <w:b/>
          <w:sz w:val="30"/>
          <w:szCs w:val="30"/>
        </w:rPr>
        <w:t xml:space="preserve">山西省工程建设地方标准              </w:t>
      </w:r>
    </w:p>
    <w:p w14:paraId="445AAEC1">
      <w:pPr>
        <w:topLinePunct/>
        <w:autoSpaceDE w:val="0"/>
        <w:spacing w:line="240" w:lineRule="auto"/>
        <w:ind w:firstLine="0" w:firstLineChars="0"/>
        <w:rPr>
          <w:rFonts w:hint="eastAsia" w:ascii="宋体" w:hAnsi="宋体" w:eastAsia="宋体" w:cs="Times New Roman"/>
          <w:sz w:val="30"/>
          <w:szCs w:val="30"/>
        </w:rPr>
      </w:pPr>
    </w:p>
    <w:p w14:paraId="067FD707">
      <w:pPr>
        <w:topLinePunct/>
        <w:autoSpaceDE w:val="0"/>
        <w:spacing w:line="240" w:lineRule="auto"/>
        <w:ind w:firstLine="446" w:firstLineChars="148"/>
        <w:jc w:val="right"/>
        <w:rPr>
          <w:rFonts w:hint="eastAsia" w:ascii="宋体" w:hAnsi="宋体" w:eastAsia="宋体" w:cs="Times New Roman"/>
          <w:b/>
          <w:sz w:val="30"/>
          <w:szCs w:val="30"/>
        </w:rPr>
      </w:pPr>
      <w:r>
        <w:rPr>
          <w:rFonts w:hint="eastAsia" w:ascii="宋体" w:hAnsi="宋体" w:eastAsia="宋体" w:cs="Times New Roman"/>
          <w:b/>
          <w:sz w:val="30"/>
          <w:szCs w:val="30"/>
        </w:rPr>
        <w:t>DB</w:t>
      </w:r>
      <w:r>
        <w:rPr>
          <w:rFonts w:hint="eastAsia" w:ascii="宋体" w:hAnsi="宋体" w:eastAsia="宋体" w:cs="Times New Roman"/>
          <w:b/>
          <w:sz w:val="30"/>
          <w:szCs w:val="30"/>
          <w:lang w:val="en-US" w:eastAsia="zh-CN"/>
        </w:rPr>
        <w:t>J**-***</w:t>
      </w: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p>
    <w:p w14:paraId="72006388">
      <w:pPr>
        <w:topLinePunct/>
        <w:autoSpaceDE w:val="0"/>
        <w:spacing w:line="240" w:lineRule="auto"/>
        <w:ind w:firstLine="446" w:firstLineChars="148"/>
        <w:jc w:val="right"/>
        <w:rPr>
          <w:rFonts w:hint="eastAsia" w:ascii="宋体" w:hAnsi="宋体" w:eastAsia="宋体" w:cs="Times New Roman"/>
          <w:b/>
          <w:sz w:val="30"/>
          <w:szCs w:val="30"/>
        </w:rPr>
      </w:pPr>
      <w:r>
        <w:rPr>
          <w:rFonts w:hint="eastAsia" w:ascii="宋体" w:hAnsi="宋体" w:eastAsia="宋体" w:cs="Times New Roman"/>
          <w:b/>
          <w:sz w:val="30"/>
          <w:szCs w:val="30"/>
        </w:rPr>
        <w:t>备案号：J</w:t>
      </w:r>
      <w:r>
        <w:rPr>
          <w:rFonts w:hint="eastAsia" w:ascii="宋体" w:hAnsi="宋体" w:eastAsia="宋体" w:cs="Times New Roman"/>
          <w:b/>
          <w:sz w:val="30"/>
          <w:szCs w:val="30"/>
          <w:lang w:eastAsia="zh-CN"/>
        </w:rPr>
        <w:t>*</w:t>
      </w:r>
      <w:r>
        <w:rPr>
          <w:rFonts w:hint="eastAsia" w:ascii="宋体" w:hAnsi="宋体" w:eastAsia="宋体" w:cs="Times New Roman"/>
          <w:b/>
          <w:sz w:val="30"/>
          <w:szCs w:val="30"/>
          <w:lang w:val="en-US" w:eastAsia="zh-CN"/>
        </w:rPr>
        <w:t>****</w:t>
      </w: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p>
    <w:p w14:paraId="03D7A89F">
      <w:pPr>
        <w:topLinePunct/>
        <w:autoSpaceDE w:val="0"/>
        <w:spacing w:line="240" w:lineRule="auto"/>
        <w:ind w:firstLine="0" w:firstLineChars="0"/>
        <w:jc w:val="center"/>
        <w:rPr>
          <w:rFonts w:hint="eastAsia" w:ascii="宋体" w:hAnsi="宋体" w:eastAsia="宋体" w:cs="Times New Roman"/>
          <w:sz w:val="30"/>
          <w:szCs w:val="30"/>
        </w:rPr>
      </w:pPr>
      <w:r>
        <w:rPr>
          <w:rFonts w:hint="eastAsia" w:ascii="宋体" w:hAnsi="宋体" w:eastAsia="宋体"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114300</wp:posOffset>
                </wp:positionV>
                <wp:extent cx="57150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9pt;height:0pt;width:450pt;z-index:251661312;mso-width-relative:page;mso-height-relative:page;" filled="f" stroked="t" coordsize="21600,21600" o:gfxdata="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KgO30wAAAAgBAAAPAAAAAAAAAAEAIAAAACIAAABkcnMvZG93bnJldi54bWxQSwECFAAU&#10;AAAACACHTuJAr37RhPYBAADlAwAADgAAAAAAAAABACAAAAAiAQAAZHJzL2Uyb0RvYy54bWxQSwUG&#10;AAAAAAYABgBZAQAAigUAAAAA&#10;">
                <v:fill on="f" focussize="0,0"/>
                <v:stroke weight="2.25pt" color="#000000" joinstyle="round"/>
                <v:imagedata o:title=""/>
                <o:lock v:ext="edit" aspectratio="f"/>
              </v:line>
            </w:pict>
          </mc:Fallback>
        </mc:AlternateContent>
      </w:r>
    </w:p>
    <w:p w14:paraId="4FD45DB0">
      <w:pPr>
        <w:topLinePunct/>
        <w:autoSpaceDE w:val="0"/>
        <w:spacing w:line="240" w:lineRule="auto"/>
        <w:ind w:firstLine="0" w:firstLineChars="0"/>
        <w:jc w:val="center"/>
        <w:rPr>
          <w:rFonts w:hint="eastAsia" w:ascii="宋体" w:hAnsi="宋体" w:eastAsia="宋体" w:cs="Times New Roman"/>
          <w:sz w:val="30"/>
          <w:szCs w:val="30"/>
        </w:rPr>
      </w:pPr>
    </w:p>
    <w:p w14:paraId="538B3C7E">
      <w:pPr>
        <w:topLinePunct/>
        <w:autoSpaceDE w:val="0"/>
        <w:spacing w:line="240" w:lineRule="auto"/>
        <w:ind w:firstLine="0" w:firstLineChars="0"/>
        <w:jc w:val="center"/>
        <w:rPr>
          <w:rFonts w:hint="eastAsia" w:ascii="宋体" w:hAnsi="宋体" w:eastAsia="宋体" w:cs="Times New Roman"/>
          <w:sz w:val="30"/>
          <w:szCs w:val="30"/>
        </w:rPr>
      </w:pPr>
    </w:p>
    <w:p w14:paraId="6C3E3B93">
      <w:pPr>
        <w:topLinePunct/>
        <w:autoSpaceDE w:val="0"/>
        <w:spacing w:line="240" w:lineRule="auto"/>
        <w:ind w:firstLine="0" w:firstLineChars="0"/>
        <w:jc w:val="center"/>
        <w:rPr>
          <w:rFonts w:hint="eastAsia" w:ascii="宋体" w:hAnsi="宋体" w:eastAsia="宋体" w:cs="Times New Roman"/>
          <w:sz w:val="30"/>
          <w:szCs w:val="30"/>
        </w:rPr>
      </w:pPr>
    </w:p>
    <w:p w14:paraId="167B75A1">
      <w:pPr>
        <w:topLinePunct/>
        <w:autoSpaceDE w:val="0"/>
        <w:spacing w:line="240" w:lineRule="auto"/>
        <w:ind w:firstLine="0" w:firstLineChars="0"/>
        <w:jc w:val="center"/>
        <w:rPr>
          <w:rFonts w:hint="eastAsia" w:ascii="宋体" w:hAnsi="宋体" w:eastAsia="宋体" w:cs="Times New Roman"/>
          <w:sz w:val="30"/>
          <w:szCs w:val="30"/>
        </w:rPr>
      </w:pPr>
    </w:p>
    <w:p w14:paraId="405A63C9">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市政地下空间建筑信息模型应用标准</w:t>
      </w:r>
    </w:p>
    <w:p w14:paraId="150384F0">
      <w:pPr>
        <w:topLinePunct/>
        <w:autoSpaceDE w:val="0"/>
        <w:spacing w:line="240" w:lineRule="auto"/>
        <w:ind w:left="0" w:leftChars="0" w:right="0" w:firstLine="0" w:firstLineChars="0"/>
        <w:jc w:val="center"/>
        <w:rPr>
          <w:rFonts w:hint="eastAsia" w:ascii="宋体" w:hAnsi="宋体" w:eastAsia="宋体" w:cs="Times New Roman"/>
          <w:b/>
          <w:sz w:val="30"/>
          <w:szCs w:val="30"/>
        </w:rPr>
      </w:pPr>
    </w:p>
    <w:p w14:paraId="0327694E">
      <w:pPr>
        <w:topLinePunct/>
        <w:autoSpaceDE w:val="0"/>
        <w:spacing w:line="240" w:lineRule="auto"/>
        <w:ind w:left="0" w:leftChars="0" w:right="0"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 xml:space="preserve">Application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standard for building information modeling in municipal underground space</w:t>
      </w:r>
    </w:p>
    <w:p w14:paraId="6A025C07">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(征求意见稿)</w:t>
      </w:r>
    </w:p>
    <w:p w14:paraId="7B9CD9E8">
      <w:pPr>
        <w:topLinePunct/>
        <w:autoSpaceDE w:val="0"/>
        <w:spacing w:line="240" w:lineRule="auto"/>
        <w:ind w:firstLine="0" w:firstLineChars="0"/>
        <w:jc w:val="center"/>
        <w:rPr>
          <w:rFonts w:hint="eastAsia" w:ascii="宋体" w:hAnsi="宋体" w:eastAsia="宋体" w:cs="Times New Roman"/>
          <w:sz w:val="30"/>
          <w:szCs w:val="30"/>
        </w:rPr>
      </w:pPr>
    </w:p>
    <w:p w14:paraId="40DEE014">
      <w:pPr>
        <w:topLinePunct/>
        <w:autoSpaceDE w:val="0"/>
        <w:spacing w:line="240" w:lineRule="auto"/>
        <w:ind w:firstLine="0" w:firstLineChars="0"/>
        <w:jc w:val="center"/>
        <w:rPr>
          <w:rFonts w:hint="eastAsia" w:ascii="宋体" w:hAnsi="宋体" w:eastAsia="宋体" w:cs="Times New Roman"/>
          <w:sz w:val="30"/>
          <w:szCs w:val="30"/>
        </w:rPr>
      </w:pPr>
    </w:p>
    <w:p w14:paraId="1D9E4EE3">
      <w:pPr>
        <w:topLinePunct/>
        <w:autoSpaceDE w:val="0"/>
        <w:spacing w:line="240" w:lineRule="auto"/>
        <w:ind w:firstLine="0" w:firstLineChars="0"/>
        <w:jc w:val="center"/>
        <w:rPr>
          <w:rFonts w:hint="eastAsia" w:ascii="宋体" w:hAnsi="宋体" w:eastAsia="宋体" w:cs="Times New Roman"/>
          <w:sz w:val="30"/>
          <w:szCs w:val="30"/>
        </w:rPr>
      </w:pPr>
    </w:p>
    <w:p w14:paraId="1BA77201">
      <w:pPr>
        <w:topLinePunct/>
        <w:autoSpaceDE w:val="0"/>
        <w:spacing w:line="240" w:lineRule="auto"/>
        <w:ind w:firstLine="0" w:firstLineChars="0"/>
        <w:jc w:val="center"/>
        <w:rPr>
          <w:rFonts w:hint="eastAsia" w:ascii="宋体" w:hAnsi="宋体" w:eastAsia="宋体" w:cs="Times New Roman"/>
          <w:sz w:val="30"/>
          <w:szCs w:val="30"/>
        </w:rPr>
      </w:pPr>
    </w:p>
    <w:p w14:paraId="1F9FADF7">
      <w:pPr>
        <w:topLinePunct/>
        <w:autoSpaceDE w:val="0"/>
        <w:spacing w:line="240" w:lineRule="auto"/>
        <w:ind w:firstLine="0" w:firstLineChars="0"/>
        <w:jc w:val="center"/>
        <w:rPr>
          <w:rFonts w:hint="eastAsia" w:ascii="宋体" w:hAnsi="宋体" w:eastAsia="宋体" w:cs="Times New Roman"/>
          <w:sz w:val="30"/>
          <w:szCs w:val="30"/>
        </w:rPr>
      </w:pPr>
    </w:p>
    <w:p w14:paraId="1E60B9D8">
      <w:pPr>
        <w:topLinePunct/>
        <w:autoSpaceDE w:val="0"/>
        <w:spacing w:line="240" w:lineRule="auto"/>
        <w:ind w:firstLine="0" w:firstLineChars="0"/>
        <w:jc w:val="center"/>
        <w:rPr>
          <w:rFonts w:hint="eastAsia" w:ascii="宋体" w:hAnsi="宋体" w:eastAsia="宋体" w:cs="Times New Roman"/>
          <w:sz w:val="30"/>
          <w:szCs w:val="30"/>
        </w:rPr>
      </w:pPr>
    </w:p>
    <w:p w14:paraId="2E25DC21">
      <w:pPr>
        <w:topLinePunct/>
        <w:autoSpaceDE w:val="0"/>
        <w:spacing w:line="240" w:lineRule="auto"/>
        <w:ind w:firstLine="0" w:firstLineChars="0"/>
        <w:jc w:val="center"/>
        <w:rPr>
          <w:rFonts w:hint="eastAsia" w:ascii="宋体" w:hAnsi="宋体" w:eastAsia="宋体" w:cs="Times New Roman"/>
          <w:sz w:val="30"/>
          <w:szCs w:val="30"/>
        </w:rPr>
      </w:pPr>
    </w:p>
    <w:p w14:paraId="08EDC04C">
      <w:pPr>
        <w:topLinePunct/>
        <w:autoSpaceDE w:val="0"/>
        <w:spacing w:line="240" w:lineRule="auto"/>
        <w:ind w:firstLine="0" w:firstLineChars="0"/>
        <w:jc w:val="center"/>
        <w:rPr>
          <w:rFonts w:hint="eastAsia" w:ascii="宋体" w:hAnsi="宋体" w:eastAsia="宋体" w:cs="Times New Roman"/>
          <w:sz w:val="30"/>
          <w:szCs w:val="30"/>
        </w:rPr>
      </w:pPr>
    </w:p>
    <w:p w14:paraId="2F16E998">
      <w:pPr>
        <w:topLinePunct/>
        <w:autoSpaceDE w:val="0"/>
        <w:spacing w:line="240" w:lineRule="auto"/>
        <w:ind w:firstLine="0" w:firstLineChars="0"/>
        <w:jc w:val="center"/>
        <w:rPr>
          <w:rFonts w:hint="eastAsia" w:ascii="宋体" w:hAnsi="宋体" w:eastAsia="宋体" w:cs="Times New Roman"/>
          <w:sz w:val="30"/>
          <w:szCs w:val="30"/>
        </w:rPr>
      </w:pPr>
    </w:p>
    <w:p w14:paraId="7169C723">
      <w:pPr>
        <w:topLinePunct/>
        <w:autoSpaceDE w:val="0"/>
        <w:spacing w:line="240" w:lineRule="auto"/>
        <w:ind w:firstLine="0" w:firstLineChars="0"/>
        <w:jc w:val="center"/>
        <w:rPr>
          <w:rFonts w:hint="eastAsia" w:ascii="宋体" w:hAnsi="宋体" w:eastAsia="宋体" w:cs="Times New Roman"/>
          <w:sz w:val="30"/>
          <w:szCs w:val="30"/>
        </w:rPr>
      </w:pPr>
    </w:p>
    <w:p w14:paraId="0CAC255C">
      <w:pPr>
        <w:topLinePunct/>
        <w:autoSpaceDE w:val="0"/>
        <w:spacing w:line="240" w:lineRule="auto"/>
        <w:ind w:firstLine="0" w:firstLineChars="0"/>
        <w:jc w:val="center"/>
        <w:rPr>
          <w:rFonts w:hint="eastAsia" w:ascii="宋体" w:hAnsi="宋体" w:eastAsia="宋体" w:cs="Times New Roman"/>
          <w:sz w:val="30"/>
          <w:szCs w:val="30"/>
        </w:rPr>
      </w:pPr>
    </w:p>
    <w:p w14:paraId="6593463E">
      <w:pPr>
        <w:topLinePunct/>
        <w:autoSpaceDE w:val="0"/>
        <w:spacing w:line="240" w:lineRule="auto"/>
        <w:ind w:firstLine="0" w:firstLineChars="0"/>
        <w:jc w:val="center"/>
        <w:rPr>
          <w:rFonts w:hint="eastAsia" w:ascii="宋体" w:hAnsi="宋体" w:eastAsia="宋体" w:cs="Times New Roman"/>
          <w:sz w:val="30"/>
          <w:szCs w:val="30"/>
        </w:rPr>
      </w:pPr>
    </w:p>
    <w:p w14:paraId="097F91A1">
      <w:pPr>
        <w:topLinePunct/>
        <w:autoSpaceDE w:val="0"/>
        <w:spacing w:line="240" w:lineRule="auto"/>
        <w:ind w:firstLine="0" w:firstLineChars="0"/>
        <w:jc w:val="center"/>
        <w:rPr>
          <w:rFonts w:hint="eastAsia" w:ascii="宋体" w:hAnsi="宋体" w:eastAsia="宋体" w:cs="Times New Roman"/>
          <w:sz w:val="30"/>
          <w:szCs w:val="30"/>
        </w:rPr>
      </w:pPr>
    </w:p>
    <w:p w14:paraId="343A40EE">
      <w:pPr>
        <w:topLinePunct/>
        <w:autoSpaceDE w:val="0"/>
        <w:spacing w:line="240" w:lineRule="auto"/>
        <w:ind w:firstLine="0" w:firstLineChars="0"/>
        <w:jc w:val="center"/>
        <w:rPr>
          <w:rFonts w:hint="eastAsia" w:ascii="宋体" w:hAnsi="宋体" w:eastAsia="宋体" w:cs="Times New Roman"/>
          <w:sz w:val="30"/>
          <w:szCs w:val="30"/>
        </w:rPr>
      </w:pPr>
    </w:p>
    <w:p w14:paraId="7C0CD2CB">
      <w:pPr>
        <w:topLinePunct/>
        <w:autoSpaceDE w:val="0"/>
        <w:jc w:val="center"/>
        <w:rPr>
          <w:rFonts w:hint="eastAsia" w:ascii="宋体" w:hAnsi="宋体"/>
          <w:sz w:val="30"/>
          <w:szCs w:val="30"/>
        </w:rPr>
      </w:pPr>
    </w:p>
    <w:p w14:paraId="1807D586">
      <w:pPr>
        <w:topLinePunct/>
        <w:autoSpaceDE w:val="0"/>
        <w:spacing w:line="240" w:lineRule="auto"/>
        <w:ind w:firstLine="446" w:firstLineChars="148"/>
        <w:rPr>
          <w:rFonts w:hint="eastAsia" w:ascii="宋体" w:hAnsi="宋体" w:eastAsia="宋体" w:cs="Times New Roman"/>
          <w:b/>
          <w:sz w:val="30"/>
          <w:szCs w:val="30"/>
        </w:rPr>
      </w:pP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r>
        <w:rPr>
          <w:rFonts w:hint="eastAsia" w:ascii="宋体" w:hAnsi="宋体" w:eastAsia="宋体" w:cs="Times New Roman"/>
          <w:b/>
          <w:sz w:val="30"/>
          <w:szCs w:val="30"/>
        </w:rPr>
        <w:t>-x-x发布                           202</w:t>
      </w:r>
      <w:r>
        <w:rPr>
          <w:rFonts w:hint="eastAsia" w:ascii="宋体" w:hAnsi="宋体" w:eastAsia="宋体" w:cs="Times New Roman"/>
          <w:b/>
          <w:sz w:val="30"/>
          <w:szCs w:val="30"/>
          <w:lang w:val="en-US" w:eastAsia="zh-CN"/>
        </w:rPr>
        <w:t>5</w:t>
      </w:r>
      <w:r>
        <w:rPr>
          <w:rFonts w:hint="eastAsia" w:ascii="宋体" w:hAnsi="宋体" w:eastAsia="宋体" w:cs="Times New Roman"/>
          <w:b/>
          <w:sz w:val="30"/>
          <w:szCs w:val="30"/>
        </w:rPr>
        <w:t xml:space="preserve">-x-x实施                                    </w:t>
      </w:r>
    </w:p>
    <w:p w14:paraId="688FB3DC">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167640</wp:posOffset>
                </wp:positionV>
                <wp:extent cx="58293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3.2pt;height:0pt;width:459pt;z-index:251662336;mso-width-relative:page;mso-height-relative:page;" filled="f" stroked="t" coordsize="21600,21600" o:gfxdata="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n+sr3VAAAACAEAAA8AAAAAAAAAAQAgAAAAIgAAAGRycy9kb3ducmV2LnhtbFBLAQIU&#10;ABQAAAAIAIdO4kDslE0x9gEAAOUDAAAOAAAAAAAAAAEAIAAAACQBAABkcnMvZTJvRG9jLnhtbFBL&#10;BQYAAAAABgAGAFkBAACMBQAAAAA=&#10;">
                <v:fill on="f" focussize="0,0"/>
                <v:stroke weight="2.25pt" color="#000000" joinstyle="round"/>
                <v:imagedata o:title=""/>
                <o:lock v:ext="edit" aspectratio="f"/>
              </v:line>
            </w:pict>
          </mc:Fallback>
        </mc:AlternateContent>
      </w:r>
    </w:p>
    <w:p w14:paraId="4620684F">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山西省住房和城乡建设厅  发布</w:t>
      </w:r>
    </w:p>
    <w:p w14:paraId="4AA3FC76">
      <w:pPr>
        <w:topLinePunct/>
        <w:autoSpaceDE w:val="0"/>
        <w:spacing w:line="240" w:lineRule="auto"/>
        <w:ind w:firstLine="0" w:firstLineChars="0"/>
        <w:jc w:val="center"/>
        <w:rPr>
          <w:rFonts w:hint="eastAsia" w:ascii="宋体" w:hAnsi="宋体" w:eastAsia="宋体" w:cs="Times New Roman"/>
          <w:b/>
          <w:sz w:val="30"/>
          <w:szCs w:val="30"/>
        </w:rPr>
        <w:sectPr>
          <w:headerReference r:id="rId7" w:type="first"/>
          <w:headerReference r:id="rId5" w:type="default"/>
          <w:footerReference r:id="rId8" w:type="default"/>
          <w:headerReference r:id="rId6" w:type="even"/>
          <w:footerReference r:id="rId9" w:type="even"/>
          <w:pgSz w:w="11907" w:h="16840"/>
          <w:pgMar w:top="1418" w:right="1134" w:bottom="1418" w:left="1134" w:header="851" w:footer="851" w:gutter="0"/>
          <w:pgNumType w:start="1"/>
          <w:cols w:space="720" w:num="1"/>
          <w:titlePg/>
          <w:docGrid w:linePitch="312" w:charSpace="0"/>
        </w:sectPr>
      </w:pPr>
    </w:p>
    <w:p w14:paraId="3EB85928">
      <w:pPr>
        <w:topLinePunct/>
        <w:autoSpaceDE w:val="0"/>
        <w:spacing w:line="240" w:lineRule="auto"/>
        <w:ind w:firstLine="0" w:firstLineChars="0"/>
        <w:jc w:val="center"/>
        <w:rPr>
          <w:rFonts w:hint="eastAsia" w:ascii="宋体" w:hAnsi="宋体" w:eastAsia="宋体" w:cs="Times New Roman"/>
          <w:sz w:val="30"/>
          <w:szCs w:val="30"/>
        </w:rPr>
      </w:pPr>
    </w:p>
    <w:p w14:paraId="4FF7E73E">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山西省工程建设地方标准</w:t>
      </w:r>
    </w:p>
    <w:p w14:paraId="57D96173">
      <w:pPr>
        <w:topLinePunct/>
        <w:autoSpaceDE w:val="0"/>
        <w:spacing w:line="240" w:lineRule="auto"/>
        <w:ind w:firstLine="0" w:firstLineChars="0"/>
        <w:jc w:val="center"/>
        <w:rPr>
          <w:rFonts w:hint="eastAsia" w:ascii="宋体" w:hAnsi="宋体" w:eastAsia="宋体" w:cs="Times New Roman"/>
          <w:b/>
          <w:sz w:val="30"/>
          <w:szCs w:val="30"/>
        </w:rPr>
      </w:pPr>
    </w:p>
    <w:p w14:paraId="4D8A06AF">
      <w:pPr>
        <w:topLinePunct/>
        <w:autoSpaceDE w:val="0"/>
        <w:spacing w:line="240" w:lineRule="auto"/>
        <w:ind w:firstLine="0" w:firstLineChars="0"/>
        <w:jc w:val="center"/>
        <w:rPr>
          <w:rFonts w:hint="eastAsia" w:ascii="宋体" w:hAnsi="宋体" w:eastAsia="宋体" w:cs="Times New Roman"/>
          <w:b/>
          <w:sz w:val="30"/>
          <w:szCs w:val="30"/>
        </w:rPr>
      </w:pPr>
    </w:p>
    <w:p w14:paraId="6E03512C">
      <w:pPr>
        <w:topLinePunct/>
        <w:autoSpaceDE w:val="0"/>
        <w:spacing w:line="240" w:lineRule="auto"/>
        <w:ind w:firstLine="0" w:firstLineChars="0"/>
        <w:jc w:val="center"/>
        <w:rPr>
          <w:rFonts w:hint="eastAsia" w:ascii="宋体" w:hAnsi="宋体" w:eastAsia="宋体" w:cs="Times New Roman"/>
          <w:b/>
          <w:sz w:val="30"/>
          <w:szCs w:val="30"/>
        </w:rPr>
      </w:pPr>
    </w:p>
    <w:p w14:paraId="239BFE0D">
      <w:pPr>
        <w:topLinePunct/>
        <w:autoSpaceDE w:val="0"/>
        <w:spacing w:line="240" w:lineRule="auto"/>
        <w:ind w:right="0"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市政地下空间建筑信息模型应用标准</w:t>
      </w:r>
    </w:p>
    <w:p w14:paraId="5CF219E1">
      <w:pPr>
        <w:topLinePunct/>
        <w:autoSpaceDE w:val="0"/>
        <w:spacing w:line="240" w:lineRule="auto"/>
        <w:ind w:right="0"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DB</w:t>
      </w:r>
      <w:r>
        <w:rPr>
          <w:rFonts w:hint="eastAsia" w:ascii="宋体" w:hAnsi="宋体" w:eastAsia="宋体" w:cs="Times New Roman"/>
          <w:b/>
          <w:sz w:val="30"/>
          <w:szCs w:val="30"/>
          <w:lang w:val="en-US" w:eastAsia="zh-CN"/>
        </w:rPr>
        <w:t>J**-***</w:t>
      </w: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p>
    <w:p w14:paraId="2FD2472A">
      <w:pPr>
        <w:topLinePunct/>
        <w:autoSpaceDE w:val="0"/>
        <w:spacing w:line="240" w:lineRule="auto"/>
        <w:ind w:left="1079" w:leftChars="514" w:right="638" w:rightChars="304" w:firstLine="1" w:firstLineChars="0"/>
        <w:jc w:val="center"/>
        <w:rPr>
          <w:rFonts w:hint="eastAsia" w:ascii="宋体" w:hAnsi="宋体" w:eastAsia="宋体" w:cs="Times New Roman"/>
          <w:b/>
          <w:sz w:val="30"/>
          <w:szCs w:val="30"/>
        </w:rPr>
      </w:pPr>
    </w:p>
    <w:p w14:paraId="6C79F78D">
      <w:pPr>
        <w:topLinePunct/>
        <w:autoSpaceDE w:val="0"/>
        <w:spacing w:line="240" w:lineRule="auto"/>
        <w:ind w:left="529" w:leftChars="172" w:right="459" w:hanging="168" w:hangingChars="56"/>
        <w:jc w:val="center"/>
        <w:rPr>
          <w:rFonts w:hint="default" w:ascii="Times New Roman" w:hAnsi="Times New Roman" w:eastAsia="宋体" w:cs="Times New Roman"/>
          <w:b w:val="0"/>
          <w:sz w:val="30"/>
          <w:szCs w:val="30"/>
        </w:rPr>
      </w:pPr>
      <w:r>
        <w:rPr>
          <w:rFonts w:hint="default" w:ascii="Times New Roman" w:hAnsi="Times New Roman" w:eastAsia="宋体" w:cs="Times New Roman"/>
          <w:b w:val="0"/>
          <w:sz w:val="30"/>
          <w:szCs w:val="30"/>
        </w:rPr>
        <w:t xml:space="preserve">Application </w:t>
      </w:r>
      <w:r>
        <w:rPr>
          <w:rFonts w:hint="default" w:ascii="Times New Roman" w:hAnsi="Times New Roman" w:eastAsia="宋体" w:cs="Times New Roman"/>
          <w:b w:val="0"/>
          <w:sz w:val="30"/>
          <w:szCs w:val="30"/>
          <w:lang w:val="en-US" w:eastAsia="zh-CN"/>
        </w:rPr>
        <w:t xml:space="preserve"> </w:t>
      </w:r>
      <w:r>
        <w:rPr>
          <w:rFonts w:hint="default" w:ascii="Times New Roman" w:hAnsi="Times New Roman" w:eastAsia="宋体" w:cs="Times New Roman"/>
          <w:b w:val="0"/>
          <w:sz w:val="30"/>
          <w:szCs w:val="30"/>
        </w:rPr>
        <w:t>standard for building information modeling in municipal underground space</w:t>
      </w:r>
    </w:p>
    <w:p w14:paraId="145E3C3A">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(征求意见稿)</w:t>
      </w:r>
    </w:p>
    <w:p w14:paraId="0F471CB1">
      <w:pPr>
        <w:topLinePunct/>
        <w:autoSpaceDE w:val="0"/>
        <w:spacing w:line="240" w:lineRule="auto"/>
        <w:ind w:firstLine="0" w:firstLineChars="0"/>
        <w:jc w:val="center"/>
        <w:rPr>
          <w:rFonts w:hint="eastAsia" w:ascii="宋体" w:hAnsi="宋体" w:eastAsia="宋体" w:cs="Times New Roman"/>
          <w:b/>
          <w:sz w:val="30"/>
          <w:szCs w:val="30"/>
        </w:rPr>
      </w:pPr>
    </w:p>
    <w:p w14:paraId="65CFBFC1">
      <w:pPr>
        <w:topLinePunct/>
        <w:autoSpaceDE w:val="0"/>
        <w:spacing w:line="240" w:lineRule="auto"/>
        <w:ind w:firstLine="0" w:firstLineChars="0"/>
        <w:jc w:val="center"/>
        <w:rPr>
          <w:rFonts w:hint="eastAsia" w:ascii="宋体" w:hAnsi="宋体" w:eastAsia="宋体" w:cs="Times New Roman"/>
          <w:b/>
          <w:sz w:val="30"/>
          <w:szCs w:val="30"/>
        </w:rPr>
      </w:pPr>
    </w:p>
    <w:p w14:paraId="410601F4">
      <w:pPr>
        <w:topLinePunct/>
        <w:autoSpaceDE w:val="0"/>
        <w:spacing w:line="240" w:lineRule="auto"/>
        <w:ind w:firstLine="0" w:firstLineChars="0"/>
        <w:jc w:val="center"/>
        <w:rPr>
          <w:rFonts w:hint="eastAsia" w:ascii="宋体" w:hAnsi="宋体" w:eastAsia="宋体" w:cs="Times New Roman"/>
          <w:b/>
          <w:sz w:val="30"/>
          <w:szCs w:val="30"/>
        </w:rPr>
      </w:pPr>
    </w:p>
    <w:p w14:paraId="3E4DDA6E">
      <w:pPr>
        <w:topLinePunct/>
        <w:autoSpaceDE w:val="0"/>
        <w:spacing w:line="240" w:lineRule="auto"/>
        <w:ind w:firstLine="0" w:firstLineChars="0"/>
        <w:jc w:val="center"/>
        <w:rPr>
          <w:rFonts w:hint="eastAsia" w:ascii="宋体" w:hAnsi="宋体" w:eastAsia="宋体" w:cs="Times New Roman"/>
          <w:b/>
          <w:sz w:val="30"/>
          <w:szCs w:val="30"/>
        </w:rPr>
      </w:pPr>
    </w:p>
    <w:p w14:paraId="0D99F1E9">
      <w:pPr>
        <w:topLinePunct/>
        <w:autoSpaceDE w:val="0"/>
        <w:spacing w:line="240" w:lineRule="auto"/>
        <w:ind w:firstLine="0" w:firstLineChars="0"/>
        <w:jc w:val="center"/>
        <w:rPr>
          <w:rFonts w:hint="eastAsia" w:ascii="宋体" w:hAnsi="宋体" w:eastAsia="宋体" w:cs="Times New Roman"/>
          <w:b/>
          <w:sz w:val="30"/>
          <w:szCs w:val="30"/>
        </w:rPr>
      </w:pPr>
    </w:p>
    <w:p w14:paraId="419B763B">
      <w:pPr>
        <w:topLinePunct/>
        <w:autoSpaceDE w:val="0"/>
        <w:spacing w:line="240" w:lineRule="auto"/>
        <w:ind w:firstLine="0" w:firstLineChars="0"/>
        <w:jc w:val="center"/>
        <w:rPr>
          <w:rFonts w:hint="eastAsia" w:ascii="宋体" w:hAnsi="宋体" w:eastAsia="宋体" w:cs="Times New Roman"/>
          <w:b/>
          <w:sz w:val="30"/>
          <w:szCs w:val="30"/>
        </w:rPr>
      </w:pPr>
    </w:p>
    <w:p w14:paraId="3F0EB1E4">
      <w:pPr>
        <w:topLinePunct/>
        <w:autoSpaceDE w:val="0"/>
        <w:spacing w:line="240" w:lineRule="auto"/>
        <w:ind w:firstLine="0" w:firstLineChars="0"/>
        <w:jc w:val="center"/>
        <w:rPr>
          <w:rFonts w:hint="eastAsia" w:ascii="宋体" w:hAnsi="宋体" w:eastAsia="宋体" w:cs="Times New Roman"/>
          <w:b/>
          <w:sz w:val="30"/>
          <w:szCs w:val="30"/>
        </w:rPr>
      </w:pPr>
    </w:p>
    <w:p w14:paraId="3FC70A21">
      <w:pPr>
        <w:topLinePunct/>
        <w:autoSpaceDE w:val="0"/>
        <w:spacing w:line="240" w:lineRule="auto"/>
        <w:ind w:firstLine="0" w:firstLineChars="0"/>
        <w:jc w:val="center"/>
        <w:rPr>
          <w:rFonts w:hint="eastAsia" w:ascii="宋体" w:hAnsi="宋体" w:eastAsia="宋体" w:cs="Times New Roman"/>
          <w:b/>
          <w:sz w:val="30"/>
          <w:szCs w:val="30"/>
        </w:rPr>
      </w:pPr>
    </w:p>
    <w:p w14:paraId="21D194E9">
      <w:pPr>
        <w:topLinePunct/>
        <w:autoSpaceDE w:val="0"/>
        <w:spacing w:line="240" w:lineRule="auto"/>
        <w:ind w:firstLine="0" w:firstLineChars="0"/>
        <w:jc w:val="center"/>
        <w:rPr>
          <w:rFonts w:hint="eastAsia" w:ascii="宋体" w:hAnsi="宋体" w:eastAsia="宋体" w:cs="Times New Roman"/>
          <w:b/>
          <w:sz w:val="30"/>
          <w:szCs w:val="30"/>
        </w:rPr>
      </w:pPr>
    </w:p>
    <w:p w14:paraId="21E95EA8">
      <w:pPr>
        <w:topLinePunct/>
        <w:autoSpaceDE w:val="0"/>
        <w:spacing w:line="240" w:lineRule="auto"/>
        <w:ind w:firstLine="0" w:firstLineChars="0"/>
        <w:jc w:val="center"/>
        <w:rPr>
          <w:rFonts w:hint="eastAsia" w:ascii="宋体" w:hAnsi="宋体" w:eastAsia="宋体" w:cs="Times New Roman"/>
          <w:b/>
          <w:sz w:val="30"/>
          <w:szCs w:val="30"/>
        </w:rPr>
      </w:pPr>
    </w:p>
    <w:p w14:paraId="6563918A">
      <w:pPr>
        <w:topLinePunct/>
        <w:autoSpaceDE w:val="0"/>
        <w:spacing w:line="240" w:lineRule="auto"/>
        <w:ind w:firstLine="0" w:firstLineChars="0"/>
        <w:jc w:val="center"/>
        <w:rPr>
          <w:rFonts w:hint="eastAsia" w:ascii="宋体" w:hAnsi="宋体" w:eastAsia="宋体" w:cs="Times New Roman"/>
          <w:b/>
          <w:sz w:val="30"/>
          <w:szCs w:val="30"/>
        </w:rPr>
      </w:pPr>
    </w:p>
    <w:p w14:paraId="01B390CE">
      <w:pPr>
        <w:spacing w:line="440" w:lineRule="exact"/>
        <w:rPr>
          <w:rFonts w:hint="eastAsia" w:ascii="宋体" w:hAnsi="宋体" w:eastAsia="宋体" w:cs="Times New Roman"/>
          <w:b/>
          <w:sz w:val="30"/>
          <w:szCs w:val="30"/>
        </w:rPr>
      </w:pPr>
      <w:r>
        <w:rPr>
          <w:rFonts w:hint="eastAsia" w:ascii="宋体" w:hAnsi="宋体" w:eastAsia="宋体" w:cs="Times New Roman"/>
          <w:b/>
          <w:sz w:val="30"/>
          <w:szCs w:val="30"/>
        </w:rPr>
        <w:t xml:space="preserve">             主编单位：太原市轨道交通智慧建造科技有限公司</w:t>
      </w:r>
    </w:p>
    <w:p w14:paraId="655ECF1F">
      <w:pPr>
        <w:topLinePunct/>
        <w:autoSpaceDE w:val="0"/>
        <w:spacing w:line="240" w:lineRule="auto"/>
        <w:ind w:firstLine="0" w:firstLineChars="0"/>
        <w:rPr>
          <w:rFonts w:hint="eastAsia" w:ascii="宋体" w:hAnsi="宋体" w:eastAsia="宋体" w:cs="Times New Roman"/>
          <w:b/>
          <w:sz w:val="30"/>
          <w:szCs w:val="30"/>
        </w:rPr>
      </w:pPr>
      <w:r>
        <w:rPr>
          <w:rFonts w:hint="eastAsia" w:ascii="宋体" w:hAnsi="宋体" w:eastAsia="宋体" w:cs="Times New Roman"/>
          <w:b/>
          <w:sz w:val="30"/>
          <w:szCs w:val="30"/>
        </w:rPr>
        <w:t xml:space="preserve">                 批准部门：山西省住房和城乡建设厅 </w:t>
      </w:r>
    </w:p>
    <w:p w14:paraId="5FE57F9B">
      <w:pPr>
        <w:topLinePunct/>
        <w:autoSpaceDE w:val="0"/>
        <w:spacing w:line="240" w:lineRule="auto"/>
        <w:ind w:firstLine="0" w:firstLineChars="0"/>
        <w:rPr>
          <w:rFonts w:hint="eastAsia" w:ascii="宋体" w:hAnsi="宋体" w:eastAsia="宋体" w:cs="Times New Roman"/>
          <w:b/>
          <w:sz w:val="30"/>
          <w:szCs w:val="30"/>
        </w:rPr>
      </w:pPr>
      <w:r>
        <w:rPr>
          <w:rFonts w:hint="eastAsia" w:ascii="宋体" w:hAnsi="宋体" w:eastAsia="宋体" w:cs="Times New Roman"/>
          <w:b/>
          <w:sz w:val="30"/>
          <w:szCs w:val="30"/>
        </w:rPr>
        <w:t xml:space="preserve">                 实施日期：202</w:t>
      </w:r>
      <w:r>
        <w:rPr>
          <w:rFonts w:hint="eastAsia" w:ascii="宋体" w:hAnsi="宋体" w:eastAsia="宋体" w:cs="Times New Roman"/>
          <w:b/>
          <w:sz w:val="30"/>
          <w:szCs w:val="30"/>
          <w:lang w:val="en-US" w:eastAsia="zh-CN"/>
        </w:rPr>
        <w:t>5</w:t>
      </w:r>
      <w:r>
        <w:rPr>
          <w:rFonts w:hint="eastAsia" w:ascii="宋体" w:hAnsi="宋体" w:eastAsia="宋体" w:cs="Times New Roman"/>
          <w:b/>
          <w:sz w:val="30"/>
          <w:szCs w:val="30"/>
        </w:rPr>
        <w:t>年x月x日</w:t>
      </w:r>
    </w:p>
    <w:p w14:paraId="49596D99">
      <w:pPr>
        <w:topLinePunct/>
        <w:autoSpaceDE w:val="0"/>
        <w:spacing w:line="240" w:lineRule="auto"/>
        <w:ind w:firstLine="0" w:firstLineChars="0"/>
        <w:jc w:val="center"/>
        <w:rPr>
          <w:rFonts w:hint="eastAsia" w:ascii="宋体" w:hAnsi="宋体" w:eastAsia="宋体" w:cs="Times New Roman"/>
          <w:sz w:val="30"/>
          <w:szCs w:val="30"/>
        </w:rPr>
      </w:pPr>
    </w:p>
    <w:p w14:paraId="23EFA91D">
      <w:pPr>
        <w:topLinePunct/>
        <w:autoSpaceDE w:val="0"/>
        <w:spacing w:line="240" w:lineRule="auto"/>
        <w:ind w:firstLine="0" w:firstLineChars="0"/>
        <w:jc w:val="center"/>
        <w:rPr>
          <w:rFonts w:hint="eastAsia" w:ascii="宋体" w:hAnsi="宋体" w:eastAsia="宋体" w:cs="Times New Roman"/>
          <w:sz w:val="30"/>
          <w:szCs w:val="30"/>
        </w:rPr>
      </w:pPr>
    </w:p>
    <w:p w14:paraId="1C11F415">
      <w:pPr>
        <w:topLinePunct/>
        <w:autoSpaceDE w:val="0"/>
        <w:spacing w:line="240" w:lineRule="auto"/>
        <w:ind w:firstLine="0" w:firstLineChars="0"/>
        <w:jc w:val="center"/>
        <w:rPr>
          <w:rFonts w:hint="eastAsia" w:ascii="宋体" w:hAnsi="宋体" w:eastAsia="宋体" w:cs="Times New Roman"/>
          <w:sz w:val="30"/>
          <w:szCs w:val="30"/>
        </w:rPr>
      </w:pPr>
    </w:p>
    <w:p w14:paraId="1C99DF2D">
      <w:pPr>
        <w:topLinePunct/>
        <w:autoSpaceDE w:val="0"/>
        <w:spacing w:line="240" w:lineRule="auto"/>
        <w:ind w:firstLine="0" w:firstLineChars="0"/>
        <w:jc w:val="center"/>
        <w:rPr>
          <w:rFonts w:hint="eastAsia" w:ascii="宋体" w:hAnsi="宋体" w:eastAsia="宋体" w:cs="Times New Roman"/>
          <w:sz w:val="30"/>
          <w:szCs w:val="30"/>
        </w:rPr>
      </w:pPr>
    </w:p>
    <w:p w14:paraId="2B914073">
      <w:pPr>
        <w:topLinePunct/>
        <w:autoSpaceDE w:val="0"/>
        <w:spacing w:line="240" w:lineRule="auto"/>
        <w:ind w:firstLine="0" w:firstLineChars="0"/>
        <w:jc w:val="center"/>
        <w:rPr>
          <w:rFonts w:hint="eastAsia" w:ascii="宋体" w:hAnsi="宋体" w:eastAsia="宋体" w:cs="Times New Roman"/>
          <w:b w:val="0"/>
          <w:sz w:val="30"/>
          <w:szCs w:val="30"/>
        </w:rPr>
      </w:pPr>
    </w:p>
    <w:p w14:paraId="0467A7A2">
      <w:pPr>
        <w:topLinePunct/>
        <w:autoSpaceDE w:val="0"/>
        <w:ind w:firstLine="0" w:firstLineChars="0"/>
        <w:jc w:val="both"/>
        <w:rPr>
          <w:rFonts w:hint="eastAsia" w:ascii="宋体" w:hAnsi="宋体"/>
          <w:b/>
          <w:sz w:val="30"/>
          <w:szCs w:val="30"/>
        </w:rPr>
      </w:pPr>
    </w:p>
    <w:p w14:paraId="6A73F83C">
      <w:pPr>
        <w:topLinePunct/>
        <w:autoSpaceDE w:val="0"/>
        <w:jc w:val="center"/>
        <w:rPr>
          <w:rFonts w:hint="eastAsia" w:ascii="宋体" w:hAnsi="宋体"/>
          <w:b/>
          <w:sz w:val="30"/>
          <w:szCs w:val="30"/>
        </w:rPr>
      </w:pPr>
    </w:p>
    <w:p w14:paraId="69F57649">
      <w:pPr>
        <w:topLinePunct/>
        <w:autoSpaceDE w:val="0"/>
        <w:spacing w:line="240" w:lineRule="auto"/>
        <w:ind w:firstLine="0" w:firstLineChars="0"/>
        <w:jc w:val="both"/>
        <w:rPr>
          <w:rFonts w:hint="eastAsia" w:ascii="宋体" w:hAnsi="宋体" w:eastAsia="宋体" w:cs="Times New Roman"/>
          <w:b w:val="0"/>
          <w:sz w:val="30"/>
          <w:szCs w:val="30"/>
        </w:rPr>
      </w:pPr>
    </w:p>
    <w:p w14:paraId="25B0BE95">
      <w:pPr>
        <w:topLinePunct/>
        <w:autoSpaceDE w:val="0"/>
        <w:spacing w:line="240" w:lineRule="auto"/>
        <w:ind w:firstLine="0" w:firstLineChars="0"/>
        <w:jc w:val="center"/>
        <w:rPr>
          <w:rFonts w:hint="eastAsia" w:ascii="宋体" w:hAnsi="宋体" w:eastAsia="宋体" w:cs="Times New Roman"/>
          <w:b w:val="0"/>
          <w:sz w:val="30"/>
          <w:szCs w:val="30"/>
        </w:rPr>
      </w:pPr>
    </w:p>
    <w:p w14:paraId="0F6802FB">
      <w:pPr>
        <w:topLinePunct/>
        <w:autoSpaceDE w:val="0"/>
        <w:jc w:val="center"/>
        <w:rPr>
          <w:rFonts w:hint="eastAsia" w:ascii="宋体" w:hAnsi="宋体"/>
          <w:b/>
          <w:sz w:val="30"/>
          <w:szCs w:val="30"/>
        </w:rPr>
        <w:sectPr>
          <w:pgSz w:w="11907" w:h="16840"/>
          <w:pgMar w:top="1418" w:right="1134" w:bottom="1418" w:left="1134" w:header="851" w:footer="851" w:gutter="0"/>
          <w:pgNumType w:start="1"/>
          <w:cols w:space="720" w:num="1"/>
          <w:titlePg/>
          <w:docGrid w:linePitch="312" w:charSpace="0"/>
        </w:sectPr>
      </w:pPr>
      <w:r>
        <w:rPr>
          <w:rFonts w:ascii="宋体" w:hAnsi="宋体"/>
          <w:b/>
          <w:sz w:val="30"/>
          <w:szCs w:val="30"/>
        </w:rPr>
        <w:t>20</w:t>
      </w:r>
      <w:r>
        <w:rPr>
          <w:rFonts w:hint="eastAsia" w:ascii="宋体" w:hAnsi="宋体"/>
          <w:b/>
          <w:sz w:val="30"/>
          <w:szCs w:val="30"/>
        </w:rPr>
        <w:t>2</w:t>
      </w:r>
      <w:r>
        <w:rPr>
          <w:rFonts w:hint="eastAsia" w:ascii="宋体" w:hAnsi="宋体"/>
          <w:b/>
          <w:sz w:val="30"/>
          <w:szCs w:val="30"/>
          <w:lang w:val="en-US" w:eastAsia="zh-CN"/>
        </w:rPr>
        <w:t>5</w:t>
      </w:r>
      <w:r>
        <w:rPr>
          <w:rFonts w:hint="eastAsia" w:ascii="宋体" w:hAnsi="宋体"/>
          <w:b/>
          <w:sz w:val="30"/>
          <w:szCs w:val="30"/>
        </w:rPr>
        <w:t>·山西太原</w:t>
      </w:r>
    </w:p>
    <w:p w14:paraId="3B275B84">
      <w:pPr>
        <w:spacing w:line="240" w:lineRule="auto"/>
        <w:ind w:firstLine="0" w:firstLineChars="0"/>
        <w:jc w:val="center"/>
        <w:rPr>
          <w:rFonts w:hint="eastAsia" w:ascii="黑体" w:hAnsi="黑体" w:eastAsia="黑体" w:cs="黑体"/>
          <w:b/>
          <w:color w:val="auto"/>
          <w:kern w:val="0"/>
          <w:sz w:val="32"/>
          <w:szCs w:val="32"/>
          <w:highlight w:val="none"/>
        </w:rPr>
      </w:pPr>
      <w:bookmarkStart w:id="0" w:name="_Toc5398"/>
      <w:r>
        <w:rPr>
          <w:rFonts w:hint="eastAsia" w:ascii="黑体" w:hAnsi="黑体" w:eastAsia="黑体" w:cs="黑体"/>
          <w:b/>
          <w:color w:val="auto"/>
          <w:kern w:val="0"/>
          <w:sz w:val="32"/>
          <w:szCs w:val="32"/>
          <w:highlight w:val="none"/>
        </w:rPr>
        <w:t>前　</w:t>
      </w:r>
      <w:r>
        <w:rPr>
          <w:rFonts w:ascii="黑体" w:hAnsi="黑体" w:eastAsia="黑体" w:cs="黑体"/>
          <w:b/>
          <w:color w:val="auto"/>
          <w:kern w:val="0"/>
          <w:sz w:val="32"/>
          <w:szCs w:val="32"/>
          <w:highlight w:val="none"/>
        </w:rPr>
        <w:t>　</w:t>
      </w:r>
      <w:r>
        <w:rPr>
          <w:rFonts w:hint="eastAsia" w:ascii="黑体" w:hAnsi="黑体" w:eastAsia="黑体" w:cs="黑体"/>
          <w:b/>
          <w:color w:val="auto"/>
          <w:kern w:val="0"/>
          <w:sz w:val="32"/>
          <w:szCs w:val="32"/>
          <w:highlight w:val="none"/>
        </w:rPr>
        <w:t>言</w:t>
      </w:r>
      <w:bookmarkEnd w:id="0"/>
    </w:p>
    <w:p w14:paraId="6FEEA926">
      <w:pPr>
        <w:spacing w:line="240" w:lineRule="auto"/>
        <w:ind w:firstLine="0" w:firstLineChars="0"/>
        <w:jc w:val="center"/>
        <w:rPr>
          <w:rFonts w:hint="eastAsia" w:ascii="黑体" w:hAnsi="黑体" w:eastAsia="黑体" w:cs="黑体"/>
          <w:b/>
          <w:color w:val="auto"/>
          <w:kern w:val="0"/>
          <w:sz w:val="32"/>
          <w:szCs w:val="32"/>
          <w:highlight w:val="none"/>
        </w:rPr>
      </w:pPr>
    </w:p>
    <w:p w14:paraId="31DBFA9C">
      <w:pPr>
        <w:spacing w:line="240" w:lineRule="auto"/>
        <w:ind w:firstLine="420"/>
        <w:rPr>
          <w:rFonts w:hint="eastAsia" w:ascii="宋体" w:hAnsi="宋体" w:eastAsia="宋体" w:cs="宋体"/>
          <w:color w:val="auto"/>
          <w:szCs w:val="21"/>
          <w:highlight w:val="none"/>
        </w:rPr>
      </w:pPr>
      <w:bookmarkStart w:id="1" w:name="_Hlk530469321"/>
      <w:r>
        <w:rPr>
          <w:rFonts w:hint="eastAsia" w:asciiTheme="minorEastAsia" w:hAnsiTheme="minorEastAsia"/>
          <w:color w:val="auto"/>
          <w:szCs w:val="21"/>
          <w:highlight w:val="none"/>
        </w:rPr>
        <w:t>根据山西省住房和城乡建设厅《关于印发＜2024年工程建设地方标准制（修）订计划＞的通知》（晋建科字</w:t>
      </w:r>
      <w:r>
        <w:rPr>
          <w:rFonts w:hint="eastAsia" w:asciiTheme="minorEastAsia" w:hAnsiTheme="minorEastAsia" w:eastAsiaTheme="minorEastAsia" w:cstheme="minorBidi"/>
          <w:i w:val="0"/>
          <w:iCs w:val="0"/>
          <w:caps w:val="0"/>
          <w:color w:val="auto"/>
          <w:spacing w:val="0"/>
          <w:sz w:val="21"/>
          <w:szCs w:val="21"/>
          <w:highlight w:val="none"/>
          <w:shd w:val="clear"/>
        </w:rPr>
        <w:t>〔2024〕</w:t>
      </w:r>
      <w:r>
        <w:rPr>
          <w:rFonts w:hint="eastAsia" w:asciiTheme="minorEastAsia" w:hAnsiTheme="minorEastAsia"/>
          <w:color w:val="auto"/>
          <w:szCs w:val="21"/>
          <w:highlight w:val="none"/>
        </w:rPr>
        <w:t>82号)</w:t>
      </w:r>
      <w:r>
        <w:rPr>
          <w:rFonts w:hint="eastAsia" w:asciiTheme="minorEastAsia" w:hAnsiTheme="minorEastAsia"/>
          <w:color w:val="auto"/>
          <w:szCs w:val="21"/>
          <w:highlight w:val="none"/>
          <w:lang w:val="en-US" w:eastAsia="zh-CN"/>
        </w:rPr>
        <w:t>的</w:t>
      </w:r>
      <w:r>
        <w:rPr>
          <w:rFonts w:hint="eastAsia" w:asciiTheme="minorEastAsia" w:hAnsiTheme="minorEastAsia"/>
          <w:color w:val="auto"/>
          <w:szCs w:val="21"/>
          <w:highlight w:val="none"/>
        </w:rPr>
        <w:t>要求，标准编制组经广泛调查研究，认真总结实践经验，借鉴国内外先进经验，并在广泛征求意见的基础上，编制了本标准。</w:t>
      </w:r>
    </w:p>
    <w:p w14:paraId="5F2A0A69">
      <w:pPr>
        <w:spacing w:line="240" w:lineRule="auto"/>
        <w:ind w:firstLine="420"/>
        <w:rPr>
          <w:rFonts w:hint="eastAsia" w:asciiTheme="minorEastAsia" w:hAnsiTheme="minorEastAsia"/>
          <w:color w:val="auto"/>
          <w:szCs w:val="21"/>
          <w:highlight w:val="none"/>
        </w:rPr>
      </w:pPr>
      <w:r>
        <w:rPr>
          <w:rFonts w:hint="eastAsia" w:asciiTheme="minorEastAsia" w:hAnsiTheme="minorEastAsia"/>
          <w:color w:val="auto"/>
          <w:szCs w:val="21"/>
          <w:highlight w:val="none"/>
        </w:rPr>
        <w:t>本标准主要技术内容是：</w:t>
      </w:r>
      <w:r>
        <w:rPr>
          <w:rFonts w:asciiTheme="minorEastAsia" w:hAnsiTheme="minorEastAsia"/>
          <w:color w:val="auto"/>
          <w:szCs w:val="21"/>
          <w:highlight w:val="none"/>
        </w:rPr>
        <w:t>1</w:t>
      </w:r>
      <w:r>
        <w:rPr>
          <w:rFonts w:hint="eastAsia" w:asciiTheme="minorEastAsia" w:hAnsiTheme="minorEastAsia"/>
          <w:color w:val="auto"/>
          <w:szCs w:val="21"/>
          <w:highlight w:val="none"/>
        </w:rPr>
        <w:t xml:space="preserve"> </w:t>
      </w:r>
      <w:r>
        <w:rPr>
          <w:rFonts w:asciiTheme="minorEastAsia" w:hAnsiTheme="minorEastAsia"/>
          <w:color w:val="auto"/>
          <w:szCs w:val="21"/>
          <w:highlight w:val="none"/>
        </w:rPr>
        <w:t>总则；2</w:t>
      </w:r>
      <w:r>
        <w:rPr>
          <w:rFonts w:hint="eastAsia" w:asciiTheme="minorEastAsia" w:hAnsiTheme="minorEastAsia"/>
          <w:color w:val="auto"/>
          <w:szCs w:val="21"/>
          <w:highlight w:val="none"/>
        </w:rPr>
        <w:t xml:space="preserve"> </w:t>
      </w:r>
      <w:r>
        <w:rPr>
          <w:rFonts w:asciiTheme="minorEastAsia" w:hAnsiTheme="minorEastAsia"/>
          <w:color w:val="auto"/>
          <w:szCs w:val="21"/>
          <w:highlight w:val="none"/>
        </w:rPr>
        <w:t>术语；3</w:t>
      </w:r>
      <w:r>
        <w:rPr>
          <w:rFonts w:hint="eastAsia" w:asciiTheme="minorEastAsia" w:hAnsiTheme="minorEastAsia"/>
          <w:color w:val="auto"/>
          <w:szCs w:val="21"/>
          <w:highlight w:val="none"/>
        </w:rPr>
        <w:t xml:space="preserve"> </w:t>
      </w:r>
      <w:r>
        <w:rPr>
          <w:rFonts w:asciiTheme="minorEastAsia" w:hAnsiTheme="minorEastAsia"/>
          <w:color w:val="auto"/>
          <w:szCs w:val="21"/>
          <w:highlight w:val="none"/>
        </w:rPr>
        <w:t>基本规定；</w:t>
      </w:r>
      <w:r>
        <w:rPr>
          <w:rFonts w:hint="eastAsia" w:asciiTheme="minorEastAsia" w:hAnsiTheme="minorEastAsia"/>
          <w:color w:val="auto"/>
          <w:szCs w:val="21"/>
          <w:highlight w:val="none"/>
        </w:rPr>
        <w:t>4 可行性研究阶段</w:t>
      </w:r>
      <w:r>
        <w:rPr>
          <w:rFonts w:asciiTheme="minorEastAsia" w:hAnsiTheme="minorEastAsia"/>
          <w:color w:val="auto"/>
          <w:szCs w:val="21"/>
          <w:highlight w:val="none"/>
        </w:rPr>
        <w:t>；</w:t>
      </w:r>
      <w:r>
        <w:rPr>
          <w:rFonts w:hint="eastAsia" w:asciiTheme="minorEastAsia" w:hAnsiTheme="minorEastAsia"/>
          <w:color w:val="auto"/>
          <w:szCs w:val="21"/>
          <w:highlight w:val="none"/>
        </w:rPr>
        <w:t>5 初步设计阶段；6 施工图设计阶段；7 施工图深化阶段；8 施工准备阶段；9 施工实施阶段；1</w:t>
      </w:r>
      <w:r>
        <w:rPr>
          <w:rFonts w:hint="eastAsia" w:asciiTheme="minorEastAsia" w:hAnsiTheme="minorEastAsia"/>
          <w:color w:val="auto"/>
          <w:szCs w:val="21"/>
          <w:highlight w:val="none"/>
          <w:lang w:val="en-US" w:eastAsia="zh-CN"/>
        </w:rPr>
        <w:t>0</w:t>
      </w:r>
      <w:r>
        <w:rPr>
          <w:rFonts w:hint="eastAsia" w:asciiTheme="minorEastAsia" w:hAnsiTheme="minorEastAsia"/>
          <w:color w:val="auto"/>
          <w:szCs w:val="21"/>
          <w:highlight w:val="none"/>
        </w:rPr>
        <w:t xml:space="preserve"> 运维阶段。</w:t>
      </w:r>
    </w:p>
    <w:p w14:paraId="6ADE52E1">
      <w:pPr>
        <w:spacing w:line="24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本标准由山西省住房和城乡建设厅负责管理，由太原市轨道交通智慧建造科技有限公司负责具体技术内容的解释。执行过程中如有意见或建议，请寄送太原市轨道交通智慧建造科技有限公司（地址 ：太原市小店区龙城大街95号太原地铁控制中心；邮编：030000）。</w:t>
      </w:r>
    </w:p>
    <w:p w14:paraId="6E1E81CA">
      <w:pPr>
        <w:spacing w:line="340" w:lineRule="exact"/>
        <w:ind w:firstLine="420" w:firstLineChars="0"/>
        <w:rPr>
          <w:rFonts w:hint="eastAsia" w:ascii="宋体" w:hAnsi="宋体"/>
          <w:color w:val="auto"/>
          <w:szCs w:val="21"/>
          <w:highlight w:val="none"/>
        </w:rPr>
      </w:pPr>
      <w:r>
        <w:rPr>
          <w:rFonts w:hint="eastAsia" w:ascii="宋体" w:hAnsi="宋体"/>
          <w:color w:val="auto"/>
          <w:spacing w:val="30"/>
          <w:kern w:val="0"/>
          <w:szCs w:val="21"/>
          <w:highlight w:val="none"/>
        </w:rPr>
        <w:t>本标准主编单位</w:t>
      </w:r>
      <w:r>
        <w:rPr>
          <w:rFonts w:hint="eastAsia" w:ascii="宋体" w:hAnsi="宋体"/>
          <w:color w:val="auto"/>
          <w:spacing w:val="4"/>
          <w:kern w:val="0"/>
          <w:szCs w:val="21"/>
          <w:highlight w:val="none"/>
        </w:rPr>
        <w:t>：</w:t>
      </w:r>
      <w:r>
        <w:rPr>
          <w:rFonts w:hint="eastAsia" w:ascii="宋体" w:hAnsi="宋体" w:eastAsia="宋体" w:cs="宋体"/>
          <w:bCs w:val="0"/>
          <w:color w:val="auto"/>
          <w:sz w:val="21"/>
          <w:szCs w:val="21"/>
          <w:highlight w:val="none"/>
          <w:lang w:val="en-US" w:eastAsia="zh-CN"/>
        </w:rPr>
        <w:t>太原市轨道交通智慧建造科技有限公司</w:t>
      </w:r>
    </w:p>
    <w:p w14:paraId="62BE7764">
      <w:pPr>
        <w:keepNext w:val="0"/>
        <w:keepLines w:val="0"/>
        <w:pageBreakBefore w:val="0"/>
        <w:widowControl/>
        <w:kinsoku/>
        <w:wordWrap/>
        <w:overflowPunct/>
        <w:topLinePunct w:val="0"/>
        <w:autoSpaceDE/>
        <w:autoSpaceDN/>
        <w:bidi w:val="0"/>
        <w:adjustRightInd/>
        <w:snapToGrid/>
        <w:spacing w:line="340" w:lineRule="exact"/>
        <w:ind w:firstLine="420" w:firstLineChars="0"/>
        <w:textAlignment w:val="auto"/>
        <w:rPr>
          <w:rFonts w:hint="eastAsia" w:ascii="宋体" w:hAnsi="宋体" w:eastAsiaTheme="minorEastAsia" w:cstheme="minorBidi"/>
          <w:bCs w:val="0"/>
          <w:color w:val="auto"/>
          <w:spacing w:val="30"/>
          <w:kern w:val="0"/>
          <w:sz w:val="21"/>
          <w:szCs w:val="21"/>
          <w:highlight w:val="none"/>
        </w:rPr>
      </w:pPr>
      <w:r>
        <w:rPr>
          <w:rFonts w:hint="eastAsia" w:ascii="宋体" w:hAnsi="宋体"/>
          <w:color w:val="auto"/>
          <w:spacing w:val="30"/>
          <w:kern w:val="0"/>
          <w:szCs w:val="21"/>
          <w:highlight w:val="none"/>
        </w:rPr>
        <w:t>本标准参编单位：</w:t>
      </w:r>
      <w:r>
        <w:rPr>
          <w:rFonts w:hint="eastAsia" w:ascii="宋体" w:hAnsi="宋体" w:eastAsia="宋体" w:cs="宋体"/>
          <w:bCs w:val="0"/>
          <w:color w:val="auto"/>
          <w:sz w:val="21"/>
          <w:szCs w:val="21"/>
          <w:highlight w:val="none"/>
        </w:rPr>
        <w:t>山西航空产业集团有限公司</w:t>
      </w:r>
    </w:p>
    <w:p w14:paraId="28B957F7">
      <w:pPr>
        <w:keepNext w:val="0"/>
        <w:keepLines w:val="0"/>
        <w:pageBreakBefore w:val="0"/>
        <w:widowControl/>
        <w:kinsoku/>
        <w:wordWrap/>
        <w:overflowPunct/>
        <w:topLinePunct w:val="0"/>
        <w:autoSpaceDE/>
        <w:autoSpaceDN/>
        <w:bidi w:val="0"/>
        <w:adjustRightInd/>
        <w:snapToGrid/>
        <w:spacing w:line="340" w:lineRule="exact"/>
        <w:ind w:firstLine="2520" w:firstLineChars="1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太原市市政工程设计研究院</w:t>
      </w:r>
    </w:p>
    <w:p w14:paraId="766423B9">
      <w:pPr>
        <w:keepNext w:val="0"/>
        <w:keepLines w:val="0"/>
        <w:pageBreakBefore w:val="0"/>
        <w:widowControl/>
        <w:kinsoku/>
        <w:wordWrap/>
        <w:overflowPunct/>
        <w:topLinePunct w:val="0"/>
        <w:autoSpaceDE/>
        <w:autoSpaceDN/>
        <w:bidi w:val="0"/>
        <w:adjustRightInd/>
        <w:snapToGrid/>
        <w:spacing w:line="340" w:lineRule="exact"/>
        <w:ind w:firstLine="2520" w:firstLineChars="1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中铁第一勘察设计院集团有限公</w:t>
      </w:r>
      <w:r>
        <w:rPr>
          <w:rFonts w:hint="eastAsia" w:ascii="宋体" w:hAnsi="宋体" w:eastAsia="宋体" w:cs="宋体"/>
          <w:bCs w:val="0"/>
          <w:color w:val="auto"/>
          <w:sz w:val="21"/>
          <w:szCs w:val="21"/>
          <w:highlight w:val="none"/>
          <w:lang w:val="en-US" w:eastAsia="zh-CN"/>
        </w:rPr>
        <w:t>司</w:t>
      </w:r>
    </w:p>
    <w:p w14:paraId="5E42B325">
      <w:pPr>
        <w:keepNext w:val="0"/>
        <w:keepLines w:val="0"/>
        <w:pageBreakBefore w:val="0"/>
        <w:widowControl/>
        <w:kinsoku/>
        <w:wordWrap/>
        <w:overflowPunct/>
        <w:topLinePunct w:val="0"/>
        <w:autoSpaceDE/>
        <w:autoSpaceDN/>
        <w:bidi w:val="0"/>
        <w:adjustRightInd/>
        <w:snapToGrid/>
        <w:spacing w:line="340" w:lineRule="exact"/>
        <w:ind w:firstLine="2520" w:firstLineChars="1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鲁班软件股份有限公司</w:t>
      </w:r>
    </w:p>
    <w:p w14:paraId="7C879487">
      <w:pPr>
        <w:spacing w:line="340" w:lineRule="exact"/>
        <w:ind w:firstLine="420" w:firstLineChars="0"/>
        <w:jc w:val="left"/>
        <w:rPr>
          <w:rFonts w:hint="eastAsia" w:ascii="宋体" w:hAnsi="宋体"/>
          <w:color w:val="auto"/>
          <w:kern w:val="0"/>
          <w:szCs w:val="21"/>
          <w:highlight w:val="none"/>
        </w:rPr>
      </w:pPr>
    </w:p>
    <w:p w14:paraId="1CFC8C43">
      <w:pPr>
        <w:spacing w:line="240" w:lineRule="auto"/>
        <w:ind w:firstLine="420" w:firstLineChars="0"/>
        <w:jc w:val="left"/>
        <w:rPr>
          <w:rFonts w:hint="eastAsia" w:ascii="宋体" w:hAnsi="宋体"/>
          <w:color w:val="auto"/>
          <w:szCs w:val="21"/>
          <w:highlight w:val="none"/>
        </w:rPr>
      </w:pPr>
      <w:r>
        <w:rPr>
          <w:rFonts w:hint="eastAsia" w:ascii="宋体" w:hAnsi="宋体"/>
          <w:color w:val="auto"/>
          <w:spacing w:val="0"/>
          <w:kern w:val="0"/>
          <w:szCs w:val="21"/>
          <w:highlight w:val="none"/>
          <w:fitText w:val="2100" w:id="1"/>
        </w:rPr>
        <w:t>本标准主要起草人员：</w:t>
      </w:r>
    </w:p>
    <w:p w14:paraId="1F9DB6AA">
      <w:pPr>
        <w:spacing w:line="340" w:lineRule="exact"/>
        <w:ind w:firstLine="562" w:firstLineChars="268"/>
        <w:rPr>
          <w:rFonts w:hint="eastAsia" w:ascii="宋体" w:hAnsi="宋体"/>
          <w:color w:val="auto"/>
          <w:szCs w:val="21"/>
          <w:highlight w:val="none"/>
        </w:rPr>
      </w:pPr>
    </w:p>
    <w:p w14:paraId="007566D0">
      <w:pPr>
        <w:spacing w:line="340" w:lineRule="exact"/>
        <w:ind w:firstLine="0" w:firstLineChars="0"/>
        <w:rPr>
          <w:rFonts w:hint="eastAsia" w:ascii="宋体" w:hAnsi="宋体"/>
          <w:color w:val="auto"/>
          <w:szCs w:val="21"/>
          <w:highlight w:val="none"/>
        </w:rPr>
      </w:pPr>
    </w:p>
    <w:p w14:paraId="32F5DEE1">
      <w:pPr>
        <w:spacing w:line="340" w:lineRule="exact"/>
        <w:ind w:firstLine="420" w:firstLineChars="0"/>
        <w:rPr>
          <w:rFonts w:hint="eastAsia" w:ascii="宋体" w:hAnsi="宋体"/>
          <w:color w:val="auto"/>
          <w:szCs w:val="21"/>
          <w:highlight w:val="none"/>
        </w:rPr>
      </w:pPr>
      <w:r>
        <w:rPr>
          <w:rFonts w:hint="eastAsia" w:ascii="宋体" w:hAnsi="宋体"/>
          <w:color w:val="auto"/>
          <w:spacing w:val="0"/>
          <w:kern w:val="0"/>
          <w:szCs w:val="21"/>
          <w:highlight w:val="none"/>
          <w:fitText w:val="2100" w:id="2"/>
        </w:rPr>
        <w:t>本标准主要审查人员：</w:t>
      </w:r>
      <w:r>
        <w:rPr>
          <w:rFonts w:ascii="宋体" w:hAnsi="宋体"/>
          <w:color w:val="auto"/>
          <w:szCs w:val="21"/>
          <w:highlight w:val="none"/>
        </w:rPr>
        <w:t xml:space="preserve"> </w:t>
      </w:r>
    </w:p>
    <w:p w14:paraId="1D7422C0">
      <w:pPr>
        <w:spacing w:line="340" w:lineRule="exact"/>
        <w:ind w:firstLine="409" w:firstLineChars="195"/>
        <w:rPr>
          <w:rFonts w:hint="eastAsia" w:ascii="宋体" w:hAnsi="宋体"/>
          <w:color w:val="auto"/>
          <w:szCs w:val="21"/>
          <w:highlight w:val="none"/>
        </w:rPr>
      </w:pPr>
    </w:p>
    <w:p w14:paraId="0B65E9E5">
      <w:pPr>
        <w:spacing w:line="340" w:lineRule="exact"/>
        <w:ind w:firstLine="409" w:firstLineChars="195"/>
        <w:rPr>
          <w:rFonts w:hint="eastAsia" w:ascii="宋体" w:hAnsi="宋体"/>
          <w:color w:val="auto"/>
          <w:szCs w:val="21"/>
          <w:highlight w:val="none"/>
        </w:rPr>
      </w:pPr>
    </w:p>
    <w:p w14:paraId="5FCAB29F">
      <w:pPr>
        <w:spacing w:line="340" w:lineRule="exact"/>
        <w:ind w:firstLine="409" w:firstLineChars="195"/>
        <w:rPr>
          <w:rFonts w:hint="eastAsia" w:ascii="宋体" w:hAnsi="宋体"/>
          <w:color w:val="auto"/>
          <w:szCs w:val="21"/>
          <w:highlight w:val="none"/>
        </w:rPr>
      </w:pPr>
    </w:p>
    <w:p w14:paraId="7E335756">
      <w:pPr>
        <w:spacing w:line="340" w:lineRule="exact"/>
        <w:ind w:firstLine="409" w:firstLineChars="195"/>
        <w:rPr>
          <w:rFonts w:hint="eastAsia" w:ascii="宋体" w:hAnsi="宋体"/>
          <w:color w:val="auto"/>
          <w:szCs w:val="21"/>
          <w:highlight w:val="none"/>
        </w:rPr>
      </w:pPr>
    </w:p>
    <w:p w14:paraId="12AA7109">
      <w:pPr>
        <w:spacing w:line="340" w:lineRule="exact"/>
        <w:ind w:firstLine="409" w:firstLineChars="195"/>
        <w:rPr>
          <w:rFonts w:hint="eastAsia" w:ascii="宋体" w:hAnsi="宋体"/>
          <w:color w:val="auto"/>
          <w:szCs w:val="21"/>
          <w:highlight w:val="none"/>
        </w:rPr>
      </w:pPr>
    </w:p>
    <w:p w14:paraId="2FBF243D">
      <w:pPr>
        <w:spacing w:line="340" w:lineRule="exact"/>
        <w:ind w:firstLine="409" w:firstLineChars="195"/>
        <w:rPr>
          <w:rFonts w:hint="eastAsia" w:ascii="宋体" w:hAnsi="宋体"/>
          <w:color w:val="auto"/>
          <w:szCs w:val="21"/>
          <w:highlight w:val="none"/>
        </w:rPr>
      </w:pPr>
    </w:p>
    <w:p w14:paraId="52DDF3F4">
      <w:pPr>
        <w:spacing w:line="340" w:lineRule="exact"/>
        <w:ind w:firstLine="409" w:firstLineChars="195"/>
        <w:rPr>
          <w:rFonts w:hint="eastAsia" w:ascii="宋体" w:hAnsi="宋体"/>
          <w:color w:val="auto"/>
          <w:szCs w:val="21"/>
          <w:highlight w:val="none"/>
        </w:rPr>
      </w:pPr>
    </w:p>
    <w:p w14:paraId="27E4AF89">
      <w:pPr>
        <w:spacing w:line="340" w:lineRule="exact"/>
        <w:ind w:firstLine="409" w:firstLineChars="195"/>
        <w:rPr>
          <w:rFonts w:hint="eastAsia" w:ascii="宋体" w:hAnsi="宋体"/>
          <w:color w:val="auto"/>
          <w:szCs w:val="21"/>
          <w:highlight w:val="none"/>
        </w:rPr>
      </w:pPr>
    </w:p>
    <w:p w14:paraId="0B2ED0B9">
      <w:pPr>
        <w:spacing w:line="340" w:lineRule="exact"/>
        <w:ind w:firstLine="409" w:firstLineChars="195"/>
        <w:rPr>
          <w:rFonts w:hint="eastAsia" w:ascii="宋体" w:hAnsi="宋体"/>
          <w:color w:val="auto"/>
          <w:szCs w:val="21"/>
          <w:highlight w:val="none"/>
        </w:rPr>
      </w:pPr>
    </w:p>
    <w:p w14:paraId="1E09F44B">
      <w:pPr>
        <w:spacing w:line="340" w:lineRule="exact"/>
        <w:ind w:firstLine="409" w:firstLineChars="195"/>
        <w:rPr>
          <w:rFonts w:hint="eastAsia" w:ascii="宋体" w:hAnsi="宋体"/>
          <w:color w:val="auto"/>
          <w:szCs w:val="21"/>
          <w:highlight w:val="none"/>
        </w:rPr>
      </w:pPr>
    </w:p>
    <w:p w14:paraId="7EEDA5BA">
      <w:pPr>
        <w:spacing w:line="340" w:lineRule="exact"/>
        <w:ind w:firstLine="409" w:firstLineChars="195"/>
        <w:rPr>
          <w:rFonts w:hint="eastAsia" w:ascii="宋体" w:hAnsi="宋体"/>
          <w:color w:val="auto"/>
          <w:szCs w:val="21"/>
          <w:highlight w:val="none"/>
        </w:rPr>
      </w:pPr>
    </w:p>
    <w:p w14:paraId="7DFBD185">
      <w:pPr>
        <w:spacing w:line="340" w:lineRule="exact"/>
        <w:ind w:firstLine="409" w:firstLineChars="195"/>
        <w:rPr>
          <w:rFonts w:hint="eastAsia" w:ascii="宋体" w:hAnsi="宋体"/>
          <w:color w:val="auto"/>
          <w:szCs w:val="21"/>
          <w:highlight w:val="none"/>
        </w:rPr>
      </w:pPr>
    </w:p>
    <w:p w14:paraId="40A1CC62">
      <w:pPr>
        <w:spacing w:line="340" w:lineRule="exact"/>
        <w:ind w:firstLine="409" w:firstLineChars="195"/>
        <w:rPr>
          <w:rFonts w:hint="eastAsia" w:ascii="宋体" w:hAnsi="宋体"/>
          <w:color w:val="auto"/>
          <w:szCs w:val="21"/>
          <w:highlight w:val="none"/>
        </w:rPr>
      </w:pPr>
    </w:p>
    <w:p w14:paraId="1A2AA931">
      <w:pPr>
        <w:spacing w:line="340" w:lineRule="exact"/>
        <w:ind w:firstLine="409" w:firstLineChars="195"/>
        <w:rPr>
          <w:rFonts w:hint="eastAsia" w:ascii="宋体" w:hAnsi="宋体"/>
          <w:color w:val="auto"/>
          <w:szCs w:val="21"/>
          <w:highlight w:val="none"/>
        </w:rPr>
      </w:pPr>
    </w:p>
    <w:p w14:paraId="71A96B41">
      <w:pPr>
        <w:spacing w:line="340" w:lineRule="exact"/>
        <w:ind w:firstLine="409" w:firstLineChars="195"/>
        <w:rPr>
          <w:rFonts w:hint="eastAsia" w:ascii="宋体" w:hAnsi="宋体"/>
          <w:color w:val="auto"/>
          <w:szCs w:val="21"/>
          <w:highlight w:val="none"/>
        </w:rPr>
      </w:pPr>
    </w:p>
    <w:p w14:paraId="0B848E22">
      <w:pPr>
        <w:spacing w:line="340" w:lineRule="exact"/>
        <w:ind w:firstLine="409" w:firstLineChars="195"/>
        <w:rPr>
          <w:rFonts w:hint="eastAsia" w:ascii="宋体" w:hAnsi="宋体"/>
          <w:color w:val="auto"/>
          <w:szCs w:val="21"/>
          <w:highlight w:val="none"/>
        </w:rPr>
      </w:pPr>
    </w:p>
    <w:p w14:paraId="774D6904">
      <w:pPr>
        <w:spacing w:line="340" w:lineRule="exact"/>
        <w:ind w:firstLine="409" w:firstLineChars="195"/>
        <w:rPr>
          <w:rFonts w:hint="eastAsia" w:ascii="宋体" w:hAnsi="宋体"/>
          <w:color w:val="auto"/>
          <w:szCs w:val="21"/>
          <w:highlight w:val="none"/>
        </w:rPr>
      </w:pPr>
    </w:p>
    <w:p w14:paraId="6FC2C745">
      <w:pPr>
        <w:spacing w:line="340" w:lineRule="exact"/>
        <w:ind w:firstLine="409" w:firstLineChars="195"/>
        <w:rPr>
          <w:rFonts w:hint="eastAsia" w:ascii="宋体" w:hAnsi="宋体"/>
          <w:color w:val="auto"/>
          <w:szCs w:val="21"/>
          <w:highlight w:val="none"/>
        </w:rPr>
      </w:pPr>
    </w:p>
    <w:p w14:paraId="1E6395FC">
      <w:pPr>
        <w:widowControl/>
        <w:spacing w:line="240" w:lineRule="auto"/>
        <w:ind w:firstLine="0" w:firstLineChars="0"/>
        <w:jc w:val="left"/>
        <w:rPr>
          <w:rFonts w:hint="eastAsia" w:ascii="宋体" w:hAnsi="宋体"/>
          <w:color w:val="auto"/>
          <w:szCs w:val="21"/>
          <w:highlight w:val="none"/>
        </w:rPr>
      </w:pPr>
      <w:r>
        <w:rPr>
          <w:rFonts w:ascii="宋体" w:hAnsi="宋体"/>
          <w:color w:val="auto"/>
          <w:szCs w:val="21"/>
          <w:highlight w:val="none"/>
        </w:rPr>
        <w:br w:type="page"/>
      </w:r>
      <w:bookmarkEnd w:id="1"/>
    </w:p>
    <w:p w14:paraId="6D7D9805">
      <w:pPr>
        <w:spacing w:line="340" w:lineRule="exact"/>
        <w:ind w:firstLine="199" w:firstLineChars="95"/>
        <w:rPr>
          <w:rFonts w:hint="eastAsia" w:ascii="宋体" w:hAnsi="宋体"/>
          <w:color w:val="auto"/>
          <w:szCs w:val="21"/>
          <w:highlight w:val="none"/>
        </w:rPr>
      </w:pPr>
    </w:p>
    <w:p w14:paraId="063DEFDB">
      <w:pPr>
        <w:pStyle w:val="20"/>
        <w:ind w:left="480"/>
        <w:jc w:val="center"/>
        <w:rPr>
          <w:rFonts w:hint="eastAsia" w:ascii="宋体" w:hAnsi="宋体" w:eastAsia="宋体"/>
          <w:color w:val="auto"/>
          <w:highlight w:val="none"/>
          <w:lang w:val="zh-CN"/>
        </w:rPr>
      </w:pPr>
      <w:r>
        <w:rPr>
          <w:rFonts w:ascii="黑体" w:hAnsi="黑体" w:eastAsia="黑体"/>
          <w:b w:val="0"/>
          <w:color w:val="auto"/>
          <w:highlight w:val="none"/>
        </w:rPr>
        <w:t>目</w:t>
      </w:r>
      <w:r>
        <w:rPr>
          <w:rFonts w:hint="eastAsia" w:ascii="黑体" w:hAnsi="黑体" w:eastAsia="黑体"/>
          <w:b w:val="0"/>
          <w:color w:val="auto"/>
          <w:highlight w:val="none"/>
        </w:rPr>
        <w:t>　</w:t>
      </w:r>
      <w:r>
        <w:rPr>
          <w:rFonts w:ascii="黑体" w:hAnsi="黑体" w:eastAsia="黑体"/>
          <w:b w:val="0"/>
          <w:color w:val="auto"/>
          <w:highlight w:val="none"/>
        </w:rPr>
        <w:t>　</w:t>
      </w:r>
      <w:r>
        <w:rPr>
          <w:rFonts w:hint="eastAsia" w:ascii="黑体" w:hAnsi="黑体" w:eastAsia="黑体"/>
          <w:b w:val="0"/>
          <w:color w:val="auto"/>
          <w:highlight w:val="none"/>
        </w:rPr>
        <w:t>次</w:t>
      </w:r>
    </w:p>
    <w:p w14:paraId="0DFF5DAB">
      <w:pPr>
        <w:pStyle w:val="10"/>
        <w:tabs>
          <w:tab w:val="right" w:leader="dot" w:pos="9354"/>
          <w:tab w:val="clear" w:pos="1260"/>
          <w:tab w:val="clear" w:pos="8296"/>
        </w:tabs>
        <w:rPr>
          <w:rFonts w:hint="eastAsia" w:eastAsiaTheme="minorEastAsia"/>
          <w:color w:val="auto"/>
          <w:highlight w:val="none"/>
          <w:lang w:eastAsia="zh-CN"/>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"1-2" \h \z \u </w:instrText>
      </w:r>
      <w:r>
        <w:rPr>
          <w:rFonts w:asciiTheme="minorEastAsia" w:hAnsiTheme="minorEastAsia" w:eastAsiaTheme="minorEastAsia"/>
          <w:color w:val="auto"/>
          <w:sz w:val="21"/>
          <w:szCs w:val="21"/>
          <w:highlight w:val="none"/>
        </w:rPr>
        <w:fldChar w:fldCharType="separate"/>
      </w: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_Toc3509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1 </w:t>
      </w:r>
      <w:r>
        <w:rPr>
          <w:rFonts w:hint="eastAsia"/>
          <w:color w:val="auto"/>
          <w:highlight w:val="none"/>
        </w:rPr>
        <w:t>总　则</w:t>
      </w:r>
      <w:r>
        <w:rPr>
          <w:color w:val="auto"/>
          <w:highlight w:val="none"/>
        </w:rPr>
        <w:tab/>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7</w:t>
      </w:r>
    </w:p>
    <w:p w14:paraId="27E92F8F">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_Toc21780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2 </w:t>
      </w:r>
      <w:r>
        <w:rPr>
          <w:rFonts w:hint="eastAsia"/>
          <w:color w:val="auto"/>
          <w:highlight w:val="none"/>
        </w:rPr>
        <w:t>术　语</w:t>
      </w:r>
      <w:r>
        <w:rPr>
          <w:color w:val="auto"/>
          <w:highlight w:val="none"/>
        </w:rPr>
        <w:tab/>
      </w:r>
      <w:r>
        <w:rPr>
          <w:color w:val="auto"/>
          <w:highlight w:val="none"/>
        </w:rPr>
        <w:fldChar w:fldCharType="begin"/>
      </w:r>
      <w:r>
        <w:rPr>
          <w:color w:val="auto"/>
          <w:highlight w:val="none"/>
        </w:rPr>
        <w:instrText xml:space="preserve"> PAGEREF _Toc21780 \h </w:instrText>
      </w:r>
      <w:r>
        <w:rPr>
          <w:color w:val="auto"/>
          <w:highlight w:val="none"/>
        </w:rPr>
        <w:fldChar w:fldCharType="separate"/>
      </w:r>
      <w:r>
        <w:rPr>
          <w:color w:val="auto"/>
          <w:highlight w:val="none"/>
        </w:rPr>
        <w:t>8</w:t>
      </w:r>
      <w:r>
        <w:rPr>
          <w:color w:val="auto"/>
          <w:highlight w:val="none"/>
        </w:rPr>
        <w:fldChar w:fldCharType="end"/>
      </w:r>
      <w:r>
        <w:rPr>
          <w:rFonts w:asciiTheme="minorEastAsia" w:hAnsiTheme="minorEastAsia" w:eastAsiaTheme="minorEastAsia"/>
          <w:color w:val="auto"/>
          <w:szCs w:val="21"/>
          <w:highlight w:val="none"/>
        </w:rPr>
        <w:fldChar w:fldCharType="end"/>
      </w:r>
    </w:p>
    <w:p w14:paraId="50A86015">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_Toc22516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3 </w:t>
      </w:r>
      <w:r>
        <w:rPr>
          <w:rFonts w:hint="eastAsia"/>
          <w:color w:val="auto"/>
          <w:highlight w:val="none"/>
        </w:rPr>
        <w:t>基本</w:t>
      </w:r>
      <w:r>
        <w:rPr>
          <w:color w:val="auto"/>
          <w:highlight w:val="none"/>
        </w:rPr>
        <w:t>规定</w:t>
      </w:r>
      <w:r>
        <w:rPr>
          <w:color w:val="auto"/>
          <w:highlight w:val="none"/>
        </w:rPr>
        <w:tab/>
      </w:r>
      <w:r>
        <w:rPr>
          <w:color w:val="auto"/>
          <w:highlight w:val="none"/>
        </w:rPr>
        <w:fldChar w:fldCharType="begin"/>
      </w:r>
      <w:r>
        <w:rPr>
          <w:color w:val="auto"/>
          <w:highlight w:val="none"/>
        </w:rPr>
        <w:instrText xml:space="preserve"> PAGEREF _Toc22516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color w:val="auto"/>
          <w:szCs w:val="21"/>
          <w:highlight w:val="none"/>
        </w:rPr>
        <w:fldChar w:fldCharType="end"/>
      </w:r>
    </w:p>
    <w:p w14:paraId="09F0FB2E">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_Toc25481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3.1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_Toc25481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color w:val="auto"/>
          <w:szCs w:val="21"/>
          <w:highlight w:val="none"/>
        </w:rPr>
        <w:fldChar w:fldCharType="end"/>
      </w:r>
    </w:p>
    <w:p w14:paraId="6CAC70A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_Toc26266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3.2 </w:t>
      </w:r>
      <w:r>
        <w:rPr>
          <w:rFonts w:hint="eastAsia"/>
          <w:color w:val="auto"/>
          <w:highlight w:val="none"/>
        </w:rPr>
        <w:t>协同要求</w:t>
      </w:r>
      <w:r>
        <w:rPr>
          <w:color w:val="auto"/>
          <w:highlight w:val="none"/>
        </w:rPr>
        <w:tab/>
      </w:r>
      <w:r>
        <w:rPr>
          <w:color w:val="auto"/>
          <w:highlight w:val="none"/>
        </w:rPr>
        <w:fldChar w:fldCharType="begin"/>
      </w:r>
      <w:r>
        <w:rPr>
          <w:color w:val="auto"/>
          <w:highlight w:val="none"/>
        </w:rPr>
        <w:instrText xml:space="preserve"> PAGEREF _Toc26266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color w:val="auto"/>
          <w:szCs w:val="21"/>
          <w:highlight w:val="none"/>
        </w:rPr>
        <w:fldChar w:fldCharType="end"/>
      </w:r>
    </w:p>
    <w:p w14:paraId="12A1044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_Toc1195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3.3 </w:t>
      </w:r>
      <w:r>
        <w:rPr>
          <w:rFonts w:hint="eastAsia"/>
          <w:color w:val="auto"/>
          <w:highlight w:val="none"/>
        </w:rPr>
        <w:t>实施策划</w:t>
      </w:r>
      <w:r>
        <w:rPr>
          <w:color w:val="auto"/>
          <w:highlight w:val="none"/>
        </w:rPr>
        <w:tab/>
      </w:r>
      <w:r>
        <w:rPr>
          <w:color w:val="auto"/>
          <w:highlight w:val="none"/>
        </w:rPr>
        <w:fldChar w:fldCharType="begin"/>
      </w:r>
      <w:r>
        <w:rPr>
          <w:color w:val="auto"/>
          <w:highlight w:val="none"/>
        </w:rPr>
        <w:instrText xml:space="preserve"> PAGEREF _Toc1195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color w:val="auto"/>
          <w:szCs w:val="21"/>
          <w:highlight w:val="none"/>
        </w:rPr>
        <w:fldChar w:fldCharType="end"/>
      </w:r>
    </w:p>
    <w:p w14:paraId="23936F26">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_Toc10906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lang w:val="en-US"/>
        </w:rPr>
        <w:t xml:space="preserve">4 </w:t>
      </w:r>
      <w:r>
        <w:rPr>
          <w:rFonts w:hint="eastAsia"/>
          <w:color w:val="auto"/>
          <w:highlight w:val="none"/>
          <w:lang w:val="en-US"/>
        </w:rPr>
        <w:t>可行性研究阶段</w:t>
      </w:r>
      <w:r>
        <w:rPr>
          <w:color w:val="auto"/>
          <w:highlight w:val="none"/>
        </w:rPr>
        <w:tab/>
      </w:r>
      <w:r>
        <w:rPr>
          <w:color w:val="auto"/>
          <w:highlight w:val="none"/>
        </w:rPr>
        <w:fldChar w:fldCharType="begin"/>
      </w:r>
      <w:r>
        <w:rPr>
          <w:color w:val="auto"/>
          <w:highlight w:val="none"/>
        </w:rPr>
        <w:instrText xml:space="preserve"> PAGEREF _Toc10906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618076F8">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_Toc5785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_Toc5785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62E60A8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_Toc24235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4.2 </w:t>
      </w:r>
      <w:r>
        <w:rPr>
          <w:rFonts w:hint="eastAsia"/>
          <w:color w:val="auto"/>
          <w:highlight w:val="none"/>
        </w:rPr>
        <w:t>规划控制管理</w:t>
      </w:r>
      <w:r>
        <w:rPr>
          <w:color w:val="auto"/>
          <w:highlight w:val="none"/>
        </w:rPr>
        <w:tab/>
      </w:r>
      <w:r>
        <w:rPr>
          <w:color w:val="auto"/>
          <w:highlight w:val="none"/>
        </w:rPr>
        <w:fldChar w:fldCharType="begin"/>
      </w:r>
      <w:r>
        <w:rPr>
          <w:color w:val="auto"/>
          <w:highlight w:val="none"/>
        </w:rPr>
        <w:instrText xml:space="preserve"> PAGEREF _Toc24235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33641A06">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_Toc12790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4.3 </w:t>
      </w:r>
      <w:r>
        <w:rPr>
          <w:rFonts w:hint="eastAsia"/>
          <w:color w:val="auto"/>
          <w:highlight w:val="none"/>
        </w:rPr>
        <w:t>周边环境分析</w:t>
      </w:r>
      <w:r>
        <w:rPr>
          <w:color w:val="auto"/>
          <w:highlight w:val="none"/>
        </w:rPr>
        <w:tab/>
      </w:r>
      <w:r>
        <w:rPr>
          <w:color w:val="auto"/>
          <w:highlight w:val="none"/>
        </w:rPr>
        <w:fldChar w:fldCharType="begin"/>
      </w:r>
      <w:r>
        <w:rPr>
          <w:color w:val="auto"/>
          <w:highlight w:val="none"/>
        </w:rPr>
        <w:instrText xml:space="preserve"> PAGEREF _Toc12790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11FF5D7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_Toc1670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4.4 </w:t>
      </w:r>
      <w:r>
        <w:rPr>
          <w:rFonts w:hint="eastAsia"/>
          <w:color w:val="auto"/>
          <w:highlight w:val="none"/>
        </w:rPr>
        <w:t>方案比选</w:t>
      </w:r>
      <w:r>
        <w:rPr>
          <w:color w:val="auto"/>
          <w:highlight w:val="none"/>
        </w:rPr>
        <w:tab/>
      </w:r>
      <w:r>
        <w:rPr>
          <w:color w:val="auto"/>
          <w:highlight w:val="none"/>
        </w:rPr>
        <w:fldChar w:fldCharType="begin"/>
      </w:r>
      <w:r>
        <w:rPr>
          <w:color w:val="auto"/>
          <w:highlight w:val="none"/>
        </w:rPr>
        <w:instrText xml:space="preserve"> PAGEREF _Toc1670 \h </w:instrText>
      </w:r>
      <w:r>
        <w:rPr>
          <w:color w:val="auto"/>
          <w:highlight w:val="none"/>
        </w:rPr>
        <w:fldChar w:fldCharType="separate"/>
      </w:r>
      <w:r>
        <w:rPr>
          <w:color w:val="auto"/>
          <w:highlight w:val="none"/>
        </w:rPr>
        <w:t>12</w:t>
      </w:r>
      <w:r>
        <w:rPr>
          <w:color w:val="auto"/>
          <w:highlight w:val="none"/>
        </w:rPr>
        <w:fldChar w:fldCharType="end"/>
      </w:r>
      <w:r>
        <w:rPr>
          <w:rFonts w:asciiTheme="minorEastAsia" w:hAnsiTheme="minorEastAsia" w:eastAsiaTheme="minorEastAsia"/>
          <w:color w:val="auto"/>
          <w:szCs w:val="21"/>
          <w:highlight w:val="none"/>
        </w:rPr>
        <w:fldChar w:fldCharType="end"/>
      </w:r>
    </w:p>
    <w:p w14:paraId="79A8DCBF">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_Toc27312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5 </w:t>
      </w:r>
      <w:r>
        <w:rPr>
          <w:rFonts w:hint="eastAsia"/>
          <w:color w:val="auto"/>
          <w:highlight w:val="none"/>
        </w:rPr>
        <w:t>初步设计阶段</w:t>
      </w:r>
      <w:r>
        <w:rPr>
          <w:color w:val="auto"/>
          <w:highlight w:val="none"/>
        </w:rPr>
        <w:tab/>
      </w:r>
      <w:r>
        <w:rPr>
          <w:color w:val="auto"/>
          <w:highlight w:val="none"/>
        </w:rPr>
        <w:fldChar w:fldCharType="begin"/>
      </w:r>
      <w:r>
        <w:rPr>
          <w:color w:val="auto"/>
          <w:highlight w:val="none"/>
        </w:rPr>
        <w:instrText xml:space="preserve"> PAGEREF _Toc27312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259CF09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_Toc28945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_Toc28945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66207B4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_Toc31746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5.2 </w:t>
      </w:r>
      <w:r>
        <w:rPr>
          <w:rFonts w:hint="eastAsia" w:ascii="黑体" w:hAnsi="黑体"/>
          <w:color w:val="auto"/>
          <w:highlight w:val="none"/>
        </w:rPr>
        <w:t>控制因素分析</w:t>
      </w:r>
      <w:r>
        <w:rPr>
          <w:color w:val="auto"/>
          <w:highlight w:val="none"/>
        </w:rPr>
        <w:tab/>
      </w:r>
      <w:r>
        <w:rPr>
          <w:color w:val="auto"/>
          <w:highlight w:val="none"/>
        </w:rPr>
        <w:fldChar w:fldCharType="begin"/>
      </w:r>
      <w:r>
        <w:rPr>
          <w:color w:val="auto"/>
          <w:highlight w:val="none"/>
        </w:rPr>
        <w:instrText xml:space="preserve"> PAGEREF _Toc31746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79212FE7">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_Toc7389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5.3 </w:t>
      </w:r>
      <w:r>
        <w:rPr>
          <w:rFonts w:hint="eastAsia" w:ascii="黑体" w:hAnsi="黑体"/>
          <w:color w:val="auto"/>
          <w:highlight w:val="none"/>
        </w:rPr>
        <w:t>交通疏解模拟</w:t>
      </w:r>
      <w:r>
        <w:rPr>
          <w:color w:val="auto"/>
          <w:highlight w:val="none"/>
        </w:rPr>
        <w:tab/>
      </w:r>
      <w:r>
        <w:rPr>
          <w:color w:val="auto"/>
          <w:highlight w:val="none"/>
        </w:rPr>
        <w:fldChar w:fldCharType="begin"/>
      </w:r>
      <w:r>
        <w:rPr>
          <w:color w:val="auto"/>
          <w:highlight w:val="none"/>
        </w:rPr>
        <w:instrText xml:space="preserve"> PAGEREF _Toc7389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64F0D7D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_Toc24950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5.4 </w:t>
      </w:r>
      <w:r>
        <w:rPr>
          <w:rFonts w:hint="eastAsia" w:ascii="黑体" w:hAnsi="黑体"/>
          <w:color w:val="auto"/>
          <w:highlight w:val="none"/>
        </w:rPr>
        <w:t>管线迁改模拟</w:t>
      </w:r>
      <w:r>
        <w:rPr>
          <w:color w:val="auto"/>
          <w:highlight w:val="none"/>
        </w:rPr>
        <w:tab/>
      </w:r>
      <w:r>
        <w:rPr>
          <w:color w:val="auto"/>
          <w:highlight w:val="none"/>
        </w:rPr>
        <w:fldChar w:fldCharType="begin"/>
      </w:r>
      <w:r>
        <w:rPr>
          <w:color w:val="auto"/>
          <w:highlight w:val="none"/>
        </w:rPr>
        <w:instrText xml:space="preserve"> PAGEREF _Toc24950 \h </w:instrText>
      </w:r>
      <w:r>
        <w:rPr>
          <w:color w:val="auto"/>
          <w:highlight w:val="none"/>
        </w:rPr>
        <w:fldChar w:fldCharType="separate"/>
      </w:r>
      <w:r>
        <w:rPr>
          <w:color w:val="auto"/>
          <w:highlight w:val="none"/>
        </w:rPr>
        <w:t>14</w:t>
      </w:r>
      <w:r>
        <w:rPr>
          <w:color w:val="auto"/>
          <w:highlight w:val="none"/>
        </w:rPr>
        <w:fldChar w:fldCharType="end"/>
      </w:r>
      <w:r>
        <w:rPr>
          <w:rFonts w:asciiTheme="minorEastAsia" w:hAnsiTheme="minorEastAsia" w:eastAsiaTheme="minorEastAsia"/>
          <w:color w:val="auto"/>
          <w:szCs w:val="21"/>
          <w:highlight w:val="none"/>
        </w:rPr>
        <w:fldChar w:fldCharType="end"/>
      </w:r>
    </w:p>
    <w:p w14:paraId="40AF700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_Toc6560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5.5 </w:t>
      </w:r>
      <w:r>
        <w:rPr>
          <w:rFonts w:hint="eastAsia"/>
          <w:color w:val="auto"/>
          <w:highlight w:val="none"/>
        </w:rPr>
        <w:t>设计方案深化</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14</w:t>
      </w:r>
      <w:r>
        <w:rPr>
          <w:color w:val="auto"/>
          <w:highlight w:val="none"/>
        </w:rPr>
        <w:fldChar w:fldCharType="end"/>
      </w:r>
      <w:r>
        <w:rPr>
          <w:rFonts w:asciiTheme="minorEastAsia" w:hAnsiTheme="minorEastAsia" w:eastAsiaTheme="minorEastAsia"/>
          <w:color w:val="auto"/>
          <w:szCs w:val="21"/>
          <w:highlight w:val="none"/>
        </w:rPr>
        <w:fldChar w:fldCharType="end"/>
      </w:r>
    </w:p>
    <w:p w14:paraId="13B4396E">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_Toc11499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6 </w:t>
      </w:r>
      <w:r>
        <w:rPr>
          <w:rFonts w:hint="eastAsia"/>
          <w:color w:val="auto"/>
          <w:highlight w:val="none"/>
          <w:lang w:val="en-US"/>
        </w:rPr>
        <w:t>施工图设计</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_Toc11499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2471BF1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_Toc5792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_Toc5792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6D264228">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_Toc10740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6.2 </w:t>
      </w:r>
      <w:r>
        <w:rPr>
          <w:rFonts w:hint="eastAsia" w:ascii="黑体" w:hAnsi="黑体"/>
          <w:color w:val="auto"/>
          <w:highlight w:val="none"/>
        </w:rPr>
        <w:t>管线综合与碰撞检查</w:t>
      </w:r>
      <w:r>
        <w:rPr>
          <w:color w:val="auto"/>
          <w:highlight w:val="none"/>
        </w:rPr>
        <w:tab/>
      </w:r>
      <w:r>
        <w:rPr>
          <w:color w:val="auto"/>
          <w:highlight w:val="none"/>
        </w:rPr>
        <w:fldChar w:fldCharType="begin"/>
      </w:r>
      <w:r>
        <w:rPr>
          <w:color w:val="auto"/>
          <w:highlight w:val="none"/>
        </w:rPr>
        <w:instrText xml:space="preserve"> PAGEREF _Toc10740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65C3AF3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_Toc3349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6.3 </w:t>
      </w:r>
      <w:r>
        <w:rPr>
          <w:rFonts w:hint="eastAsia" w:ascii="黑体" w:hAnsi="黑体"/>
          <w:color w:val="auto"/>
          <w:highlight w:val="none"/>
        </w:rPr>
        <w:t>净空检查</w:t>
      </w:r>
      <w:r>
        <w:rPr>
          <w:color w:val="auto"/>
          <w:highlight w:val="none"/>
        </w:rPr>
        <w:tab/>
      </w:r>
      <w:r>
        <w:rPr>
          <w:color w:val="auto"/>
          <w:highlight w:val="none"/>
        </w:rPr>
        <w:fldChar w:fldCharType="begin"/>
      </w:r>
      <w:r>
        <w:rPr>
          <w:color w:val="auto"/>
          <w:highlight w:val="none"/>
        </w:rPr>
        <w:instrText xml:space="preserve"> PAGEREF _Toc3349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29E7613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_Toc8456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6.4 </w:t>
      </w:r>
      <w:r>
        <w:rPr>
          <w:rFonts w:hint="eastAsia" w:ascii="黑体" w:hAnsi="黑体"/>
          <w:color w:val="auto"/>
          <w:highlight w:val="none"/>
        </w:rPr>
        <w:t>预留预埋核查</w:t>
      </w:r>
      <w:r>
        <w:rPr>
          <w:color w:val="auto"/>
          <w:highlight w:val="none"/>
        </w:rPr>
        <w:tab/>
      </w:r>
      <w:r>
        <w:rPr>
          <w:color w:val="auto"/>
          <w:highlight w:val="none"/>
        </w:rPr>
        <w:fldChar w:fldCharType="begin"/>
      </w:r>
      <w:r>
        <w:rPr>
          <w:color w:val="auto"/>
          <w:highlight w:val="none"/>
        </w:rPr>
        <w:instrText xml:space="preserve"> PAGEREF _Toc8456 \h </w:instrText>
      </w:r>
      <w:r>
        <w:rPr>
          <w:color w:val="auto"/>
          <w:highlight w:val="none"/>
        </w:rPr>
        <w:fldChar w:fldCharType="separate"/>
      </w:r>
      <w:r>
        <w:rPr>
          <w:color w:val="auto"/>
          <w:highlight w:val="none"/>
        </w:rPr>
        <w:t>17</w:t>
      </w:r>
      <w:r>
        <w:rPr>
          <w:color w:val="auto"/>
          <w:highlight w:val="none"/>
        </w:rPr>
        <w:fldChar w:fldCharType="end"/>
      </w:r>
      <w:r>
        <w:rPr>
          <w:rFonts w:asciiTheme="minorEastAsia" w:hAnsiTheme="minorEastAsia" w:eastAsiaTheme="minorEastAsia"/>
          <w:color w:val="auto"/>
          <w:szCs w:val="21"/>
          <w:highlight w:val="none"/>
        </w:rPr>
        <w:fldChar w:fldCharType="end"/>
      </w:r>
    </w:p>
    <w:p w14:paraId="14DBC067">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_Toc12056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6.5 </w:t>
      </w:r>
      <w:r>
        <w:rPr>
          <w:rFonts w:hint="eastAsia"/>
          <w:color w:val="auto"/>
          <w:highlight w:val="none"/>
        </w:rPr>
        <w:t>工程量复核</w:t>
      </w:r>
      <w:r>
        <w:rPr>
          <w:color w:val="auto"/>
          <w:highlight w:val="none"/>
        </w:rPr>
        <w:tab/>
      </w:r>
      <w:r>
        <w:rPr>
          <w:color w:val="auto"/>
          <w:highlight w:val="none"/>
        </w:rPr>
        <w:fldChar w:fldCharType="begin"/>
      </w:r>
      <w:r>
        <w:rPr>
          <w:color w:val="auto"/>
          <w:highlight w:val="none"/>
        </w:rPr>
        <w:instrText xml:space="preserve"> PAGEREF _Toc12056 \h </w:instrText>
      </w:r>
      <w:r>
        <w:rPr>
          <w:color w:val="auto"/>
          <w:highlight w:val="none"/>
        </w:rPr>
        <w:fldChar w:fldCharType="separate"/>
      </w:r>
      <w:r>
        <w:rPr>
          <w:color w:val="auto"/>
          <w:highlight w:val="none"/>
        </w:rPr>
        <w:t>17</w:t>
      </w:r>
      <w:r>
        <w:rPr>
          <w:color w:val="auto"/>
          <w:highlight w:val="none"/>
        </w:rPr>
        <w:fldChar w:fldCharType="end"/>
      </w:r>
      <w:r>
        <w:rPr>
          <w:rFonts w:asciiTheme="minorEastAsia" w:hAnsiTheme="minorEastAsia" w:eastAsiaTheme="minorEastAsia"/>
          <w:color w:val="auto"/>
          <w:szCs w:val="21"/>
          <w:highlight w:val="none"/>
        </w:rPr>
        <w:fldChar w:fldCharType="end"/>
      </w:r>
    </w:p>
    <w:p w14:paraId="151D27FD">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_Toc24926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7 </w:t>
      </w:r>
      <w:r>
        <w:rPr>
          <w:rFonts w:hint="eastAsia"/>
          <w:color w:val="auto"/>
          <w:highlight w:val="none"/>
          <w:lang w:val="en-US"/>
        </w:rPr>
        <w:t>施工图深化</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72978D9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_Toc18076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_Toc18076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4C0AB7E2">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_Toc11875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7.2 </w:t>
      </w:r>
      <w:r>
        <w:rPr>
          <w:rFonts w:hint="eastAsia" w:ascii="黑体" w:hAnsi="黑体"/>
          <w:color w:val="auto"/>
          <w:highlight w:val="none"/>
        </w:rPr>
        <w:t>装配式构件深化</w:t>
      </w:r>
      <w:r>
        <w:rPr>
          <w:color w:val="auto"/>
          <w:highlight w:val="none"/>
        </w:rPr>
        <w:tab/>
      </w:r>
      <w:r>
        <w:rPr>
          <w:color w:val="auto"/>
          <w:highlight w:val="none"/>
        </w:rPr>
        <w:fldChar w:fldCharType="begin"/>
      </w:r>
      <w:r>
        <w:rPr>
          <w:color w:val="auto"/>
          <w:highlight w:val="none"/>
        </w:rPr>
        <w:instrText xml:space="preserve"> PAGEREF _Toc11875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114272C6">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_Toc19832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7.3 </w:t>
      </w:r>
      <w:r>
        <w:rPr>
          <w:rFonts w:hint="eastAsia" w:ascii="黑体" w:hAnsi="黑体"/>
          <w:color w:val="auto"/>
          <w:highlight w:val="none"/>
        </w:rPr>
        <w:t>机电管线深化</w:t>
      </w:r>
      <w:r>
        <w:rPr>
          <w:color w:val="auto"/>
          <w:highlight w:val="none"/>
        </w:rPr>
        <w:tab/>
      </w:r>
      <w:r>
        <w:rPr>
          <w:color w:val="auto"/>
          <w:highlight w:val="none"/>
        </w:rPr>
        <w:fldChar w:fldCharType="begin"/>
      </w:r>
      <w:r>
        <w:rPr>
          <w:color w:val="auto"/>
          <w:highlight w:val="none"/>
        </w:rPr>
        <w:instrText xml:space="preserve"> PAGEREF _Toc19832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40AAC03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_Toc22063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7.4 </w:t>
      </w:r>
      <w:r>
        <w:rPr>
          <w:rFonts w:hint="eastAsia" w:ascii="黑体" w:hAnsi="黑体"/>
          <w:color w:val="auto"/>
          <w:highlight w:val="none"/>
        </w:rPr>
        <w:t>装饰装修深化</w:t>
      </w:r>
      <w:r>
        <w:rPr>
          <w:color w:val="auto"/>
          <w:highlight w:val="none"/>
        </w:rPr>
        <w:tab/>
      </w:r>
      <w:r>
        <w:rPr>
          <w:color w:val="auto"/>
          <w:highlight w:val="none"/>
        </w:rPr>
        <w:fldChar w:fldCharType="begin"/>
      </w:r>
      <w:r>
        <w:rPr>
          <w:color w:val="auto"/>
          <w:highlight w:val="none"/>
        </w:rPr>
        <w:instrText xml:space="preserve"> PAGEREF _Toc22063 \h </w:instrText>
      </w:r>
      <w:r>
        <w:rPr>
          <w:color w:val="auto"/>
          <w:highlight w:val="none"/>
        </w:rPr>
        <w:fldChar w:fldCharType="separate"/>
      </w:r>
      <w:r>
        <w:rPr>
          <w:color w:val="auto"/>
          <w:highlight w:val="none"/>
        </w:rPr>
        <w:t>19</w:t>
      </w:r>
      <w:r>
        <w:rPr>
          <w:color w:val="auto"/>
          <w:highlight w:val="none"/>
        </w:rPr>
        <w:fldChar w:fldCharType="end"/>
      </w:r>
      <w:r>
        <w:rPr>
          <w:rFonts w:asciiTheme="minorEastAsia" w:hAnsiTheme="minorEastAsia" w:eastAsiaTheme="minorEastAsia"/>
          <w:color w:val="auto"/>
          <w:szCs w:val="21"/>
          <w:highlight w:val="none"/>
        </w:rPr>
        <w:fldChar w:fldCharType="end"/>
      </w:r>
    </w:p>
    <w:p w14:paraId="72E79735">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_Toc8300 </w:instrText>
      </w:r>
      <w:r>
        <w:rPr>
          <w:rFonts w:asciiTheme="minorEastAsia" w:hAnsiTheme="minorEastAsia" w:eastAsiaTheme="minorEastAsia"/>
          <w:color w:val="auto"/>
          <w:szCs w:val="21"/>
          <w:highlight w:val="none"/>
        </w:rPr>
        <w:fldChar w:fldCharType="separate"/>
      </w:r>
      <w:r>
        <w:rPr>
          <w:rFonts w:hint="eastAsia" w:ascii="黑体" w:hAnsi="黑体" w:eastAsia="黑体" w:cs="Segoe UI"/>
          <w:bCs w:val="0"/>
          <w:i w:val="0"/>
          <w:iCs w:val="0"/>
          <w:caps w:val="0"/>
          <w:smallCaps w:val="0"/>
          <w:strike w:val="0"/>
          <w:dstrike w:val="0"/>
          <w:vanish w:val="0"/>
          <w:color w:val="auto"/>
          <w:spacing w:val="0"/>
          <w:kern w:val="0"/>
          <w:position w:val="0"/>
          <w:szCs w:val="27"/>
          <w:highlight w:val="none"/>
          <w:vertAlign w:val="baseline"/>
          <w14:ligatures w14:val="none"/>
          <w14:numForm w14:val="default"/>
          <w14:numSpacing w14:val="default"/>
        </w:rPr>
        <w:t xml:space="preserve">7.5 </w:t>
      </w:r>
      <w:r>
        <w:rPr>
          <w:rFonts w:hint="eastAsia"/>
          <w:color w:val="auto"/>
          <w:highlight w:val="none"/>
        </w:rPr>
        <w:t>设备选型</w:t>
      </w:r>
      <w:r>
        <w:rPr>
          <w:color w:val="auto"/>
          <w:highlight w:val="none"/>
        </w:rPr>
        <w:tab/>
      </w:r>
      <w:r>
        <w:rPr>
          <w:color w:val="auto"/>
          <w:highlight w:val="none"/>
        </w:rPr>
        <w:fldChar w:fldCharType="begin"/>
      </w:r>
      <w:r>
        <w:rPr>
          <w:color w:val="auto"/>
          <w:highlight w:val="none"/>
        </w:rPr>
        <w:instrText xml:space="preserve"> PAGEREF _Toc8300 \h </w:instrText>
      </w:r>
      <w:r>
        <w:rPr>
          <w:color w:val="auto"/>
          <w:highlight w:val="none"/>
        </w:rPr>
        <w:fldChar w:fldCharType="separate"/>
      </w:r>
      <w:r>
        <w:rPr>
          <w:color w:val="auto"/>
          <w:highlight w:val="none"/>
        </w:rPr>
        <w:t>19</w:t>
      </w:r>
      <w:r>
        <w:rPr>
          <w:color w:val="auto"/>
          <w:highlight w:val="none"/>
        </w:rPr>
        <w:fldChar w:fldCharType="end"/>
      </w:r>
      <w:r>
        <w:rPr>
          <w:rFonts w:asciiTheme="minorEastAsia" w:hAnsiTheme="minorEastAsia" w:eastAsiaTheme="minorEastAsia"/>
          <w:color w:val="auto"/>
          <w:szCs w:val="21"/>
          <w:highlight w:val="none"/>
        </w:rPr>
        <w:fldChar w:fldCharType="end"/>
      </w:r>
    </w:p>
    <w:p w14:paraId="77F49B75">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_Toc25022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8 </w:t>
      </w:r>
      <w:r>
        <w:rPr>
          <w:rFonts w:hint="eastAsia"/>
          <w:color w:val="auto"/>
          <w:highlight w:val="none"/>
          <w:lang w:val="en-US"/>
        </w:rPr>
        <w:t>施工准备</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_Toc25022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000396D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_Toc379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_Toc379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176CF01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_Toc24216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8.2 </w:t>
      </w:r>
      <w:r>
        <w:rPr>
          <w:rFonts w:hint="eastAsia"/>
          <w:color w:val="auto"/>
          <w:highlight w:val="none"/>
        </w:rPr>
        <w:t>施工场地规划</w:t>
      </w:r>
      <w:r>
        <w:rPr>
          <w:color w:val="auto"/>
          <w:highlight w:val="none"/>
        </w:rPr>
        <w:tab/>
      </w:r>
      <w:r>
        <w:rPr>
          <w:color w:val="auto"/>
          <w:highlight w:val="none"/>
        </w:rPr>
        <w:fldChar w:fldCharType="begin"/>
      </w:r>
      <w:r>
        <w:rPr>
          <w:color w:val="auto"/>
          <w:highlight w:val="none"/>
        </w:rPr>
        <w:instrText xml:space="preserve"> PAGEREF _Toc24216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5C21906B">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_Toc7150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8.3 </w:t>
      </w:r>
      <w:r>
        <w:rPr>
          <w:rFonts w:hint="eastAsia"/>
          <w:color w:val="auto"/>
          <w:highlight w:val="none"/>
        </w:rPr>
        <w:t>施工方案模拟</w:t>
      </w:r>
      <w:r>
        <w:rPr>
          <w:color w:val="auto"/>
          <w:highlight w:val="none"/>
        </w:rPr>
        <w:tab/>
      </w:r>
      <w:r>
        <w:rPr>
          <w:color w:val="auto"/>
          <w:highlight w:val="none"/>
        </w:rPr>
        <w:fldChar w:fldCharType="begin"/>
      </w:r>
      <w:r>
        <w:rPr>
          <w:color w:val="auto"/>
          <w:highlight w:val="none"/>
        </w:rPr>
        <w:instrText xml:space="preserve"> PAGEREF _Toc7150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378C6F52">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_Toc2266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8.4 </w:t>
      </w:r>
      <w:r>
        <w:rPr>
          <w:rFonts w:hint="eastAsia"/>
          <w:color w:val="auto"/>
          <w:highlight w:val="none"/>
        </w:rPr>
        <w:t>应急预案模拟</w:t>
      </w:r>
      <w:r>
        <w:rPr>
          <w:color w:val="auto"/>
          <w:highlight w:val="none"/>
        </w:rPr>
        <w:tab/>
      </w:r>
      <w:r>
        <w:rPr>
          <w:color w:val="auto"/>
          <w:highlight w:val="none"/>
        </w:rPr>
        <w:fldChar w:fldCharType="begin"/>
      </w:r>
      <w:r>
        <w:rPr>
          <w:color w:val="auto"/>
          <w:highlight w:val="none"/>
        </w:rPr>
        <w:instrText xml:space="preserve"> PAGEREF _Toc2266 \h </w:instrText>
      </w:r>
      <w:r>
        <w:rPr>
          <w:color w:val="auto"/>
          <w:highlight w:val="none"/>
        </w:rPr>
        <w:fldChar w:fldCharType="separate"/>
      </w:r>
      <w:r>
        <w:rPr>
          <w:color w:val="auto"/>
          <w:highlight w:val="none"/>
        </w:rPr>
        <w:t>22</w:t>
      </w:r>
      <w:r>
        <w:rPr>
          <w:color w:val="auto"/>
          <w:highlight w:val="none"/>
        </w:rPr>
        <w:fldChar w:fldCharType="end"/>
      </w:r>
      <w:r>
        <w:rPr>
          <w:rFonts w:asciiTheme="minorEastAsia" w:hAnsiTheme="minorEastAsia" w:eastAsiaTheme="minorEastAsia"/>
          <w:color w:val="auto"/>
          <w:szCs w:val="21"/>
          <w:highlight w:val="none"/>
        </w:rPr>
        <w:fldChar w:fldCharType="end"/>
      </w:r>
    </w:p>
    <w:p w14:paraId="6E9266A8">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_Toc10881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9 </w:t>
      </w:r>
      <w:r>
        <w:rPr>
          <w:rFonts w:hint="eastAsia"/>
          <w:color w:val="auto"/>
          <w:highlight w:val="none"/>
          <w:lang w:val="en-US"/>
        </w:rPr>
        <w:t>施工实施</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_Toc10881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126782CD">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_Toc18103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9.1 </w:t>
      </w:r>
      <w:r>
        <w:rPr>
          <w:rFonts w:hint="eastAsia"/>
          <w:color w:val="auto"/>
          <w:highlight w:val="none"/>
          <w:lang w:val="en-AU"/>
        </w:rPr>
        <w:t>一般</w:t>
      </w:r>
      <w:r>
        <w:rPr>
          <w:rFonts w:hint="eastAsia"/>
          <w:color w:val="auto"/>
          <w:highlight w:val="none"/>
        </w:rPr>
        <w:t>规定</w:t>
      </w:r>
      <w:r>
        <w:rPr>
          <w:color w:val="auto"/>
          <w:highlight w:val="none"/>
        </w:rPr>
        <w:tab/>
      </w:r>
      <w:r>
        <w:rPr>
          <w:color w:val="auto"/>
          <w:highlight w:val="none"/>
        </w:rPr>
        <w:fldChar w:fldCharType="begin"/>
      </w:r>
      <w:r>
        <w:rPr>
          <w:color w:val="auto"/>
          <w:highlight w:val="none"/>
        </w:rPr>
        <w:instrText xml:space="preserve"> PAGEREF _Toc18103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37756C5E">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_Toc32577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9.2 </w:t>
      </w:r>
      <w:r>
        <w:rPr>
          <w:rFonts w:hint="eastAsia"/>
          <w:color w:val="auto"/>
          <w:highlight w:val="none"/>
          <w:lang w:val="en-AU"/>
        </w:rPr>
        <w:t>进度管理</w:t>
      </w:r>
      <w:r>
        <w:rPr>
          <w:color w:val="auto"/>
          <w:highlight w:val="none"/>
        </w:rPr>
        <w:tab/>
      </w:r>
      <w:r>
        <w:rPr>
          <w:color w:val="auto"/>
          <w:highlight w:val="none"/>
        </w:rPr>
        <w:fldChar w:fldCharType="begin"/>
      </w:r>
      <w:r>
        <w:rPr>
          <w:color w:val="auto"/>
          <w:highlight w:val="none"/>
        </w:rPr>
        <w:instrText xml:space="preserve"> PAGEREF _Toc32577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2E4E82F8">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_Toc15378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9.3 </w:t>
      </w:r>
      <w:r>
        <w:rPr>
          <w:rFonts w:hint="eastAsia"/>
          <w:color w:val="auto"/>
          <w:highlight w:val="none"/>
          <w:lang w:val="en-AU"/>
        </w:rPr>
        <w:t>质量管理</w:t>
      </w:r>
      <w:r>
        <w:rPr>
          <w:color w:val="auto"/>
          <w:highlight w:val="none"/>
        </w:rPr>
        <w:tab/>
      </w:r>
      <w:r>
        <w:rPr>
          <w:color w:val="auto"/>
          <w:highlight w:val="none"/>
        </w:rPr>
        <w:fldChar w:fldCharType="begin"/>
      </w:r>
      <w:r>
        <w:rPr>
          <w:color w:val="auto"/>
          <w:highlight w:val="none"/>
        </w:rPr>
        <w:instrText xml:space="preserve"> PAGEREF _Toc15378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23742FD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_Toc26753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9.4 </w:t>
      </w:r>
      <w:r>
        <w:rPr>
          <w:rFonts w:hint="eastAsia"/>
          <w:color w:val="auto"/>
          <w:highlight w:val="none"/>
          <w:lang w:val="en-AU"/>
        </w:rPr>
        <w:t>安全管理</w:t>
      </w:r>
      <w:r>
        <w:rPr>
          <w:color w:val="auto"/>
          <w:highlight w:val="none"/>
        </w:rPr>
        <w:tab/>
      </w:r>
      <w:r>
        <w:rPr>
          <w:color w:val="auto"/>
          <w:highlight w:val="none"/>
        </w:rPr>
        <w:fldChar w:fldCharType="begin"/>
      </w:r>
      <w:r>
        <w:rPr>
          <w:color w:val="auto"/>
          <w:highlight w:val="none"/>
        </w:rPr>
        <w:instrText xml:space="preserve"> PAGEREF _Toc26753 \h </w:instrText>
      </w:r>
      <w:r>
        <w:rPr>
          <w:color w:val="auto"/>
          <w:highlight w:val="none"/>
        </w:rPr>
        <w:fldChar w:fldCharType="separate"/>
      </w:r>
      <w:r>
        <w:rPr>
          <w:color w:val="auto"/>
          <w:highlight w:val="none"/>
        </w:rPr>
        <w:t>24</w:t>
      </w:r>
      <w:r>
        <w:rPr>
          <w:color w:val="auto"/>
          <w:highlight w:val="none"/>
        </w:rPr>
        <w:fldChar w:fldCharType="end"/>
      </w:r>
      <w:r>
        <w:rPr>
          <w:rFonts w:asciiTheme="minorEastAsia" w:hAnsiTheme="minorEastAsia" w:eastAsiaTheme="minorEastAsia"/>
          <w:color w:val="auto"/>
          <w:szCs w:val="21"/>
          <w:highlight w:val="none"/>
        </w:rPr>
        <w:fldChar w:fldCharType="end"/>
      </w:r>
    </w:p>
    <w:p w14:paraId="41FA3A27">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_Toc14339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9.5 </w:t>
      </w:r>
      <w:r>
        <w:rPr>
          <w:rFonts w:hint="eastAsia"/>
          <w:color w:val="auto"/>
          <w:highlight w:val="none"/>
          <w:lang w:val="en-AU"/>
        </w:rPr>
        <w:t>成本管理</w:t>
      </w:r>
      <w:r>
        <w:rPr>
          <w:color w:val="auto"/>
          <w:highlight w:val="none"/>
        </w:rPr>
        <w:tab/>
      </w:r>
      <w:r>
        <w:rPr>
          <w:color w:val="auto"/>
          <w:highlight w:val="none"/>
        </w:rPr>
        <w:fldChar w:fldCharType="begin"/>
      </w:r>
      <w:r>
        <w:rPr>
          <w:color w:val="auto"/>
          <w:highlight w:val="none"/>
        </w:rPr>
        <w:instrText xml:space="preserve"> PAGEREF _Toc14339 \h </w:instrText>
      </w:r>
      <w:r>
        <w:rPr>
          <w:color w:val="auto"/>
          <w:highlight w:val="none"/>
        </w:rPr>
        <w:fldChar w:fldCharType="separate"/>
      </w:r>
      <w:r>
        <w:rPr>
          <w:color w:val="auto"/>
          <w:highlight w:val="none"/>
        </w:rPr>
        <w:t>25</w:t>
      </w:r>
      <w:r>
        <w:rPr>
          <w:color w:val="auto"/>
          <w:highlight w:val="none"/>
        </w:rPr>
        <w:fldChar w:fldCharType="end"/>
      </w:r>
      <w:r>
        <w:rPr>
          <w:rFonts w:asciiTheme="minorEastAsia" w:hAnsiTheme="minorEastAsia" w:eastAsiaTheme="minorEastAsia"/>
          <w:color w:val="auto"/>
          <w:szCs w:val="21"/>
          <w:highlight w:val="none"/>
        </w:rPr>
        <w:fldChar w:fldCharType="end"/>
      </w:r>
    </w:p>
    <w:p w14:paraId="08B3881E">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_Toc4802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9.6 </w:t>
      </w:r>
      <w:r>
        <w:rPr>
          <w:rFonts w:hint="eastAsia"/>
          <w:color w:val="auto"/>
          <w:highlight w:val="none"/>
          <w:lang w:val="en-AU"/>
        </w:rPr>
        <w:t>竣工交付</w:t>
      </w:r>
      <w:r>
        <w:rPr>
          <w:color w:val="auto"/>
          <w:highlight w:val="none"/>
        </w:rPr>
        <w:tab/>
      </w:r>
      <w:r>
        <w:rPr>
          <w:color w:val="auto"/>
          <w:highlight w:val="none"/>
        </w:rPr>
        <w:fldChar w:fldCharType="begin"/>
      </w:r>
      <w:r>
        <w:rPr>
          <w:color w:val="auto"/>
          <w:highlight w:val="none"/>
        </w:rPr>
        <w:instrText xml:space="preserve"> PAGEREF _Toc4802 \h </w:instrText>
      </w:r>
      <w:r>
        <w:rPr>
          <w:color w:val="auto"/>
          <w:highlight w:val="none"/>
        </w:rPr>
        <w:fldChar w:fldCharType="separate"/>
      </w:r>
      <w:r>
        <w:rPr>
          <w:color w:val="auto"/>
          <w:highlight w:val="none"/>
        </w:rPr>
        <w:t>26</w:t>
      </w:r>
      <w:r>
        <w:rPr>
          <w:color w:val="auto"/>
          <w:highlight w:val="none"/>
        </w:rPr>
        <w:fldChar w:fldCharType="end"/>
      </w:r>
      <w:r>
        <w:rPr>
          <w:rFonts w:asciiTheme="minorEastAsia" w:hAnsiTheme="minorEastAsia" w:eastAsiaTheme="minorEastAsia"/>
          <w:color w:val="auto"/>
          <w:szCs w:val="21"/>
          <w:highlight w:val="none"/>
        </w:rPr>
        <w:fldChar w:fldCharType="end"/>
      </w:r>
    </w:p>
    <w:p w14:paraId="6403431F">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_Toc4005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10 </w:t>
      </w:r>
      <w:r>
        <w:rPr>
          <w:rFonts w:hint="eastAsia"/>
          <w:color w:val="auto"/>
          <w:highlight w:val="none"/>
          <w:lang w:val="en-US"/>
        </w:rPr>
        <w:t>运维阶段</w:t>
      </w:r>
      <w:r>
        <w:rPr>
          <w:color w:val="auto"/>
          <w:highlight w:val="none"/>
        </w:rPr>
        <w:tab/>
      </w:r>
      <w:r>
        <w:rPr>
          <w:color w:val="auto"/>
          <w:highlight w:val="none"/>
        </w:rPr>
        <w:fldChar w:fldCharType="begin"/>
      </w:r>
      <w:r>
        <w:rPr>
          <w:color w:val="auto"/>
          <w:highlight w:val="none"/>
        </w:rPr>
        <w:instrText xml:space="preserve"> PAGEREF _Toc4005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03DB0334">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_Toc30413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_Toc30413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2DA1CD6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_Toc22609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10.2 </w:t>
      </w:r>
      <w:r>
        <w:rPr>
          <w:rFonts w:hint="eastAsia"/>
          <w:color w:val="auto"/>
          <w:highlight w:val="none"/>
        </w:rPr>
        <w:t>资产管理</w:t>
      </w:r>
      <w:r>
        <w:rPr>
          <w:color w:val="auto"/>
          <w:highlight w:val="none"/>
        </w:rPr>
        <w:tab/>
      </w:r>
      <w:r>
        <w:rPr>
          <w:color w:val="auto"/>
          <w:highlight w:val="none"/>
        </w:rPr>
        <w:fldChar w:fldCharType="begin"/>
      </w:r>
      <w:r>
        <w:rPr>
          <w:color w:val="auto"/>
          <w:highlight w:val="none"/>
        </w:rPr>
        <w:instrText xml:space="preserve"> PAGEREF _Toc22609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24AFC394">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_Toc7552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10.3 </w:t>
      </w:r>
      <w:r>
        <w:rPr>
          <w:rFonts w:hint="eastAsia"/>
          <w:color w:val="auto"/>
          <w:highlight w:val="none"/>
        </w:rPr>
        <w:t>设备集成与监控</w:t>
      </w:r>
      <w:r>
        <w:rPr>
          <w:color w:val="auto"/>
          <w:highlight w:val="none"/>
        </w:rPr>
        <w:tab/>
      </w:r>
      <w:r>
        <w:rPr>
          <w:color w:val="auto"/>
          <w:highlight w:val="none"/>
        </w:rPr>
        <w:fldChar w:fldCharType="begin"/>
      </w:r>
      <w:r>
        <w:rPr>
          <w:color w:val="auto"/>
          <w:highlight w:val="none"/>
        </w:rPr>
        <w:instrText xml:space="preserve"> PAGEREF _Toc7552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12688F76">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_Toc17582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10.4 </w:t>
      </w:r>
      <w:r>
        <w:rPr>
          <w:rFonts w:hint="eastAsia"/>
          <w:color w:val="auto"/>
          <w:highlight w:val="none"/>
        </w:rPr>
        <w:t>应急管理</w:t>
      </w:r>
      <w:r>
        <w:rPr>
          <w:color w:val="auto"/>
          <w:highlight w:val="none"/>
        </w:rPr>
        <w:tab/>
      </w:r>
      <w:r>
        <w:rPr>
          <w:color w:val="auto"/>
          <w:highlight w:val="none"/>
        </w:rPr>
        <w:fldChar w:fldCharType="begin"/>
      </w:r>
      <w:r>
        <w:rPr>
          <w:color w:val="auto"/>
          <w:highlight w:val="none"/>
        </w:rPr>
        <w:instrText xml:space="preserve"> PAGEREF _Toc17582 \h </w:instrText>
      </w:r>
      <w:r>
        <w:rPr>
          <w:color w:val="auto"/>
          <w:highlight w:val="none"/>
        </w:rPr>
        <w:fldChar w:fldCharType="separate"/>
      </w:r>
      <w:r>
        <w:rPr>
          <w:color w:val="auto"/>
          <w:highlight w:val="none"/>
        </w:rPr>
        <w:t>28</w:t>
      </w:r>
      <w:r>
        <w:rPr>
          <w:color w:val="auto"/>
          <w:highlight w:val="none"/>
        </w:rPr>
        <w:fldChar w:fldCharType="end"/>
      </w:r>
      <w:r>
        <w:rPr>
          <w:rFonts w:asciiTheme="minorEastAsia" w:hAnsiTheme="minorEastAsia" w:eastAsiaTheme="minorEastAsia"/>
          <w:color w:val="auto"/>
          <w:szCs w:val="21"/>
          <w:highlight w:val="none"/>
        </w:rPr>
        <w:fldChar w:fldCharType="end"/>
      </w:r>
    </w:p>
    <w:p w14:paraId="01EA20C0">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_Toc3873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10.5 </w:t>
      </w:r>
      <w:r>
        <w:rPr>
          <w:rFonts w:hint="eastAsia"/>
          <w:color w:val="auto"/>
          <w:highlight w:val="none"/>
        </w:rPr>
        <w:t>维护管理</w:t>
      </w:r>
      <w:r>
        <w:rPr>
          <w:color w:val="auto"/>
          <w:highlight w:val="none"/>
        </w:rPr>
        <w:tab/>
      </w:r>
      <w:r>
        <w:rPr>
          <w:color w:val="auto"/>
          <w:highlight w:val="none"/>
        </w:rPr>
        <w:fldChar w:fldCharType="begin"/>
      </w:r>
      <w:r>
        <w:rPr>
          <w:color w:val="auto"/>
          <w:highlight w:val="none"/>
        </w:rPr>
        <w:instrText xml:space="preserve"> PAGEREF _Toc3873 \h </w:instrText>
      </w:r>
      <w:r>
        <w:rPr>
          <w:color w:val="auto"/>
          <w:highlight w:val="none"/>
        </w:rPr>
        <w:fldChar w:fldCharType="separate"/>
      </w:r>
      <w:r>
        <w:rPr>
          <w:color w:val="auto"/>
          <w:highlight w:val="none"/>
        </w:rPr>
        <w:t>28</w:t>
      </w:r>
      <w:r>
        <w:rPr>
          <w:color w:val="auto"/>
          <w:highlight w:val="none"/>
        </w:rPr>
        <w:fldChar w:fldCharType="end"/>
      </w:r>
      <w:r>
        <w:rPr>
          <w:rFonts w:asciiTheme="minorEastAsia" w:hAnsiTheme="minorEastAsia" w:eastAsiaTheme="minorEastAsia"/>
          <w:color w:val="auto"/>
          <w:szCs w:val="21"/>
          <w:highlight w:val="none"/>
        </w:rPr>
        <w:fldChar w:fldCharType="end"/>
      </w:r>
    </w:p>
    <w:p w14:paraId="6B7BD6C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_Toc17214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10.6 </w:t>
      </w:r>
      <w:r>
        <w:rPr>
          <w:rFonts w:hint="eastAsia"/>
          <w:color w:val="auto"/>
          <w:highlight w:val="none"/>
        </w:rPr>
        <w:t>平战转换</w:t>
      </w:r>
      <w:r>
        <w:rPr>
          <w:color w:val="auto"/>
          <w:highlight w:val="none"/>
        </w:rPr>
        <w:tab/>
      </w:r>
      <w:r>
        <w:rPr>
          <w:color w:val="auto"/>
          <w:highlight w:val="none"/>
        </w:rPr>
        <w:fldChar w:fldCharType="begin"/>
      </w:r>
      <w:r>
        <w:rPr>
          <w:color w:val="auto"/>
          <w:highlight w:val="none"/>
        </w:rPr>
        <w:instrText xml:space="preserve"> PAGEREF _Toc17214 \h </w:instrText>
      </w:r>
      <w:r>
        <w:rPr>
          <w:color w:val="auto"/>
          <w:highlight w:val="none"/>
        </w:rPr>
        <w:fldChar w:fldCharType="separate"/>
      </w:r>
      <w:r>
        <w:rPr>
          <w:color w:val="auto"/>
          <w:highlight w:val="none"/>
        </w:rPr>
        <w:t>29</w:t>
      </w:r>
      <w:r>
        <w:rPr>
          <w:color w:val="auto"/>
          <w:highlight w:val="none"/>
        </w:rPr>
        <w:fldChar w:fldCharType="end"/>
      </w:r>
      <w:r>
        <w:rPr>
          <w:rFonts w:asciiTheme="minorEastAsia" w:hAnsiTheme="minorEastAsia" w:eastAsiaTheme="minorEastAsia"/>
          <w:color w:val="auto"/>
          <w:szCs w:val="21"/>
          <w:highlight w:val="none"/>
        </w:rPr>
        <w:fldChar w:fldCharType="end"/>
      </w:r>
    </w:p>
    <w:p w14:paraId="1D63BEAB">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_Toc12856 </w:instrText>
      </w:r>
      <w:r>
        <w:rPr>
          <w:rFonts w:asciiTheme="minorEastAsia" w:hAnsiTheme="minorEastAsia" w:eastAsiaTheme="minorEastAsia"/>
          <w:color w:val="auto"/>
          <w:szCs w:val="21"/>
          <w:highlight w:val="none"/>
        </w:rPr>
        <w:fldChar w:fldCharType="separate"/>
      </w:r>
      <w:r>
        <w:rPr>
          <w:rFonts w:hint="eastAsia"/>
          <w:color w:val="auto"/>
          <w:highlight w:val="none"/>
        </w:rPr>
        <w:t>附录</w:t>
      </w:r>
      <w:r>
        <w:rPr>
          <w:color w:val="auto"/>
          <w:highlight w:val="none"/>
        </w:rPr>
        <w:t>A</w:t>
      </w:r>
      <w:r>
        <w:rPr>
          <w:rFonts w:hint="eastAsia"/>
          <w:color w:val="auto"/>
          <w:highlight w:val="none"/>
        </w:rPr>
        <w:t>　</w:t>
      </w:r>
      <w:r>
        <w:rPr>
          <w:color w:val="auto"/>
          <w:highlight w:val="none"/>
        </w:rPr>
        <w:t>各阶段应用点</w:t>
      </w:r>
      <w:r>
        <w:rPr>
          <w:rFonts w:hint="eastAsia"/>
          <w:color w:val="auto"/>
          <w:highlight w:val="none"/>
        </w:rPr>
        <w:t>模型</w:t>
      </w:r>
      <w:r>
        <w:rPr>
          <w:rFonts w:hint="eastAsia"/>
          <w:color w:val="auto"/>
          <w:highlight w:val="none"/>
          <w:lang w:val="en-US"/>
        </w:rPr>
        <w:t>类别</w:t>
      </w:r>
      <w:r>
        <w:rPr>
          <w:rFonts w:hint="eastAsia"/>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_Toc12856 \h </w:instrText>
      </w:r>
      <w:r>
        <w:rPr>
          <w:color w:val="auto"/>
          <w:highlight w:val="none"/>
        </w:rPr>
        <w:fldChar w:fldCharType="separate"/>
      </w:r>
      <w:r>
        <w:rPr>
          <w:color w:val="auto"/>
          <w:highlight w:val="none"/>
        </w:rPr>
        <w:t>30</w:t>
      </w:r>
      <w:r>
        <w:rPr>
          <w:color w:val="auto"/>
          <w:highlight w:val="none"/>
        </w:rPr>
        <w:fldChar w:fldCharType="end"/>
      </w:r>
      <w:r>
        <w:rPr>
          <w:rFonts w:asciiTheme="minorEastAsia" w:hAnsiTheme="minorEastAsia" w:eastAsiaTheme="minorEastAsia"/>
          <w:color w:val="auto"/>
          <w:szCs w:val="21"/>
          <w:highlight w:val="none"/>
        </w:rPr>
        <w:fldChar w:fldCharType="end"/>
      </w:r>
    </w:p>
    <w:p w14:paraId="6005CDD0">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_Toc12876 </w:instrText>
      </w:r>
      <w:r>
        <w:rPr>
          <w:rFonts w:asciiTheme="minorEastAsia" w:hAnsiTheme="minorEastAsia" w:eastAsiaTheme="minorEastAsia"/>
          <w:color w:val="auto"/>
          <w:szCs w:val="21"/>
          <w:highlight w:val="none"/>
        </w:rPr>
        <w:fldChar w:fldCharType="separate"/>
      </w:r>
      <w:r>
        <w:rPr>
          <w:rFonts w:hint="eastAsia"/>
          <w:color w:val="auto"/>
          <w:highlight w:val="none"/>
        </w:rPr>
        <w:t>附录</w:t>
      </w:r>
      <w:r>
        <w:rPr>
          <w:rFonts w:hint="eastAsia"/>
          <w:color w:val="auto"/>
          <w:highlight w:val="none"/>
          <w:lang w:val="en-US"/>
        </w:rPr>
        <w:t>B</w:t>
      </w:r>
      <w:r>
        <w:rPr>
          <w:rFonts w:hint="eastAsia"/>
          <w:color w:val="auto"/>
          <w:highlight w:val="none"/>
        </w:rPr>
        <w:t>　各阶段应用点模型要求</w:t>
      </w:r>
      <w:r>
        <w:rPr>
          <w:color w:val="auto"/>
          <w:highlight w:val="none"/>
        </w:rPr>
        <w:tab/>
      </w:r>
      <w:r>
        <w:rPr>
          <w:color w:val="auto"/>
          <w:highlight w:val="none"/>
        </w:rPr>
        <w:fldChar w:fldCharType="begin"/>
      </w:r>
      <w:r>
        <w:rPr>
          <w:color w:val="auto"/>
          <w:highlight w:val="none"/>
        </w:rPr>
        <w:instrText xml:space="preserve"> PAGEREF _Toc12876 \h </w:instrText>
      </w:r>
      <w:r>
        <w:rPr>
          <w:color w:val="auto"/>
          <w:highlight w:val="none"/>
        </w:rPr>
        <w:fldChar w:fldCharType="separate"/>
      </w:r>
      <w:r>
        <w:rPr>
          <w:color w:val="auto"/>
          <w:highlight w:val="none"/>
        </w:rPr>
        <w:t>31</w:t>
      </w:r>
      <w:r>
        <w:rPr>
          <w:color w:val="auto"/>
          <w:highlight w:val="none"/>
        </w:rPr>
        <w:fldChar w:fldCharType="end"/>
      </w:r>
      <w:r>
        <w:rPr>
          <w:rFonts w:asciiTheme="minorEastAsia" w:hAnsiTheme="minorEastAsia" w:eastAsiaTheme="minorEastAsia"/>
          <w:color w:val="auto"/>
          <w:szCs w:val="21"/>
          <w:highlight w:val="none"/>
        </w:rPr>
        <w:fldChar w:fldCharType="end"/>
      </w:r>
    </w:p>
    <w:p w14:paraId="07881E0E">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_Toc15927 </w:instrText>
      </w:r>
      <w:r>
        <w:rPr>
          <w:rFonts w:asciiTheme="minorEastAsia" w:hAnsiTheme="minorEastAsia" w:eastAsiaTheme="minorEastAsia"/>
          <w:color w:val="auto"/>
          <w:szCs w:val="21"/>
          <w:highlight w:val="none"/>
        </w:rPr>
        <w:fldChar w:fldCharType="separate"/>
      </w:r>
      <w:r>
        <w:rPr>
          <w:color w:val="auto"/>
          <w:highlight w:val="none"/>
        </w:rPr>
        <w:t>本标准用词说明</w:t>
      </w:r>
      <w:r>
        <w:rPr>
          <w:color w:val="auto"/>
          <w:highlight w:val="none"/>
        </w:rPr>
        <w:tab/>
      </w:r>
      <w:r>
        <w:rPr>
          <w:color w:val="auto"/>
          <w:highlight w:val="none"/>
        </w:rPr>
        <w:fldChar w:fldCharType="begin"/>
      </w:r>
      <w:r>
        <w:rPr>
          <w:color w:val="auto"/>
          <w:highlight w:val="none"/>
        </w:rPr>
        <w:instrText xml:space="preserve"> PAGEREF _Toc15927 \h </w:instrText>
      </w:r>
      <w:r>
        <w:rPr>
          <w:color w:val="auto"/>
          <w:highlight w:val="none"/>
        </w:rPr>
        <w:fldChar w:fldCharType="separate"/>
      </w:r>
      <w:r>
        <w:rPr>
          <w:color w:val="auto"/>
          <w:highlight w:val="none"/>
        </w:rPr>
        <w:t>32</w:t>
      </w:r>
      <w:r>
        <w:rPr>
          <w:color w:val="auto"/>
          <w:highlight w:val="none"/>
        </w:rPr>
        <w:fldChar w:fldCharType="end"/>
      </w:r>
      <w:r>
        <w:rPr>
          <w:rFonts w:asciiTheme="minorEastAsia" w:hAnsiTheme="minorEastAsia" w:eastAsiaTheme="minorEastAsia"/>
          <w:color w:val="auto"/>
          <w:szCs w:val="21"/>
          <w:highlight w:val="none"/>
        </w:rPr>
        <w:fldChar w:fldCharType="end"/>
      </w:r>
    </w:p>
    <w:p w14:paraId="5812303B">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_Toc23664 </w:instrText>
      </w:r>
      <w:r>
        <w:rPr>
          <w:rFonts w:asciiTheme="minorEastAsia" w:hAnsiTheme="minorEastAsia" w:eastAsiaTheme="minorEastAsia"/>
          <w:color w:val="auto"/>
          <w:szCs w:val="21"/>
          <w:highlight w:val="none"/>
        </w:rPr>
        <w:fldChar w:fldCharType="separate"/>
      </w:r>
      <w:r>
        <w:rPr>
          <w:color w:val="auto"/>
          <w:highlight w:val="none"/>
        </w:rPr>
        <w:t>引用标准名录</w:t>
      </w:r>
      <w:r>
        <w:rPr>
          <w:color w:val="auto"/>
          <w:highlight w:val="none"/>
        </w:rPr>
        <w:tab/>
      </w:r>
      <w:r>
        <w:rPr>
          <w:color w:val="auto"/>
          <w:highlight w:val="none"/>
        </w:rPr>
        <w:fldChar w:fldCharType="begin"/>
      </w:r>
      <w:r>
        <w:rPr>
          <w:color w:val="auto"/>
          <w:highlight w:val="none"/>
        </w:rPr>
        <w:instrText xml:space="preserve"> PAGEREF _Toc23664 \h </w:instrText>
      </w:r>
      <w:r>
        <w:rPr>
          <w:color w:val="auto"/>
          <w:highlight w:val="none"/>
        </w:rPr>
        <w:fldChar w:fldCharType="separate"/>
      </w:r>
      <w:r>
        <w:rPr>
          <w:color w:val="auto"/>
          <w:highlight w:val="none"/>
        </w:rPr>
        <w:t>35</w:t>
      </w:r>
      <w:r>
        <w:rPr>
          <w:color w:val="auto"/>
          <w:highlight w:val="none"/>
        </w:rPr>
        <w:fldChar w:fldCharType="end"/>
      </w:r>
      <w:r>
        <w:rPr>
          <w:rFonts w:asciiTheme="minorEastAsia" w:hAnsiTheme="minorEastAsia" w:eastAsiaTheme="minorEastAsia"/>
          <w:color w:val="auto"/>
          <w:szCs w:val="21"/>
          <w:highlight w:val="none"/>
        </w:rPr>
        <w:fldChar w:fldCharType="end"/>
      </w:r>
    </w:p>
    <w:p w14:paraId="49CD0535">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_Toc18564 </w:instrText>
      </w:r>
      <w:r>
        <w:rPr>
          <w:rFonts w:asciiTheme="minorEastAsia" w:hAnsiTheme="minorEastAsia" w:eastAsiaTheme="minorEastAsia"/>
          <w:color w:val="auto"/>
          <w:szCs w:val="21"/>
          <w:highlight w:val="none"/>
        </w:rPr>
        <w:fldChar w:fldCharType="separate"/>
      </w:r>
      <w:r>
        <w:rPr>
          <w:rFonts w:hint="eastAsia"/>
          <w:color w:val="auto"/>
          <w:highlight w:val="none"/>
        </w:rPr>
        <w:t>条文说明</w:t>
      </w:r>
      <w:r>
        <w:rPr>
          <w:color w:val="auto"/>
          <w:highlight w:val="none"/>
        </w:rPr>
        <w:tab/>
      </w:r>
      <w:r>
        <w:rPr>
          <w:color w:val="auto"/>
          <w:highlight w:val="none"/>
        </w:rPr>
        <w:fldChar w:fldCharType="begin"/>
      </w:r>
      <w:r>
        <w:rPr>
          <w:color w:val="auto"/>
          <w:highlight w:val="none"/>
        </w:rPr>
        <w:instrText xml:space="preserve"> PAGEREF _Toc18564 \h </w:instrText>
      </w:r>
      <w:r>
        <w:rPr>
          <w:color w:val="auto"/>
          <w:highlight w:val="none"/>
        </w:rPr>
        <w:fldChar w:fldCharType="separate"/>
      </w:r>
      <w:r>
        <w:rPr>
          <w:color w:val="auto"/>
          <w:highlight w:val="none"/>
        </w:rPr>
        <w:t>36</w:t>
      </w:r>
      <w:r>
        <w:rPr>
          <w:color w:val="auto"/>
          <w:highlight w:val="none"/>
        </w:rPr>
        <w:fldChar w:fldCharType="end"/>
      </w:r>
      <w:r>
        <w:rPr>
          <w:rFonts w:asciiTheme="minorEastAsia" w:hAnsiTheme="minorEastAsia" w:eastAsiaTheme="minorEastAsia"/>
          <w:color w:val="auto"/>
          <w:szCs w:val="21"/>
          <w:highlight w:val="none"/>
        </w:rPr>
        <w:fldChar w:fldCharType="end"/>
      </w:r>
    </w:p>
    <w:p w14:paraId="5B79B692">
      <w:pPr>
        <w:pStyle w:val="20"/>
        <w:ind w:left="480"/>
        <w:jc w:val="center"/>
        <w:rPr>
          <w:rFonts w:hint="eastAsia" w:ascii="宋体" w:hAnsi="宋体" w:eastAsia="宋体"/>
          <w:color w:val="auto"/>
          <w:highlight w:val="none"/>
          <w:lang w:val="en-US"/>
        </w:rPr>
      </w:pPr>
      <w:r>
        <w:rPr>
          <w:rFonts w:asciiTheme="minorEastAsia" w:hAnsiTheme="minorEastAsia" w:eastAsiaTheme="minorEastAsia"/>
          <w:color w:val="auto"/>
          <w:szCs w:val="21"/>
          <w:highlight w:val="none"/>
        </w:rPr>
        <w:fldChar w:fldCharType="end"/>
      </w:r>
      <w:r>
        <w:rPr>
          <w:rFonts w:hint="eastAsia" w:ascii="黑体" w:hAnsi="宋体" w:eastAsia="黑体" w:cs="宋体"/>
          <w:color w:val="auto"/>
          <w:highlight w:val="none"/>
          <w:lang w:val="en-US" w:bidi="ar"/>
        </w:rPr>
        <w:t>Contents</w:t>
      </w:r>
    </w:p>
    <w:p w14:paraId="675DD6B4">
      <w:pPr>
        <w:pStyle w:val="10"/>
        <w:tabs>
          <w:tab w:val="right" w:leader="dot" w:pos="9354"/>
          <w:tab w:val="clear" w:pos="1260"/>
          <w:tab w:val="clear" w:pos="8296"/>
        </w:tabs>
        <w:ind w:firstLine="292"/>
        <w:rPr>
          <w:rFonts w:hint="eastAsia"/>
          <w:color w:val="auto"/>
          <w:highlight w:val="none"/>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"1-2" \h \z \u </w:instrText>
      </w:r>
      <w:r>
        <w:rPr>
          <w:rFonts w:asciiTheme="minorEastAsia" w:hAnsiTheme="minorEastAsia" w:eastAsiaTheme="minorEastAsia"/>
          <w:color w:val="auto"/>
          <w:sz w:val="21"/>
          <w:szCs w:val="21"/>
          <w:highlight w:val="none"/>
        </w:rPr>
        <w:fldChar w:fldCharType="separate"/>
      </w:r>
      <w:r>
        <w:rPr>
          <w:color w:val="auto"/>
          <w:highlight w:val="none"/>
        </w:rPr>
        <w:fldChar w:fldCharType="begin"/>
      </w:r>
      <w:r>
        <w:rPr>
          <w:color w:val="auto"/>
          <w:highlight w:val="none"/>
        </w:rPr>
        <w:instrText xml:space="preserve"> HYPERLINK "file:///E:/工作/轨道智科/项目资料/市政标准/第二次评审会/第一版/市政地下空间建筑信息模型应用标准V1.1.docx" \l "_Toc16546" </w:instrText>
      </w:r>
      <w:r>
        <w:rPr>
          <w:color w:val="auto"/>
          <w:highlight w:val="none"/>
        </w:rPr>
        <w:fldChar w:fldCharType="separate"/>
      </w:r>
      <w:r>
        <w:rPr>
          <w:rStyle w:val="18"/>
          <w:rFonts w:hint="eastAsia" w:ascii="黑体" w:eastAsia="黑体" w:cs="黑体"/>
          <w:b/>
          <w:color w:val="auto"/>
          <w:highlight w:val="none"/>
          <w:u w:val="none"/>
        </w:rPr>
        <w:t xml:space="preserve">1 </w:t>
      </w:r>
      <w:r>
        <w:rPr>
          <w:rStyle w:val="18"/>
          <w:rFonts w:eastAsia="黑体"/>
          <w:b/>
          <w:color w:val="auto"/>
          <w:highlight w:val="none"/>
          <w:u w:val="none"/>
        </w:rPr>
        <w:t>General Provisions</w:t>
      </w:r>
      <w:r>
        <w:rPr>
          <w:rStyle w:val="18"/>
          <w:b/>
          <w:color w:val="auto"/>
          <w:highlight w:val="none"/>
          <w:u w:val="none"/>
        </w:rPr>
        <w:tab/>
      </w:r>
      <w:r>
        <w:rPr>
          <w:rStyle w:val="16"/>
          <w:b w:val="0"/>
          <w:color w:val="auto"/>
          <w:highlight w:val="none"/>
          <w:u w:val="none"/>
        </w:rPr>
        <w:t>7</w:t>
      </w:r>
      <w:r>
        <w:rPr>
          <w:rStyle w:val="18"/>
          <w:b/>
          <w:color w:val="auto"/>
          <w:highlight w:val="none"/>
          <w:u w:val="none"/>
        </w:rPr>
        <w:fldChar w:fldCharType="end"/>
      </w:r>
    </w:p>
    <w:p w14:paraId="1602A52A">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"_Toc10368" </w:instrText>
      </w:r>
      <w:r>
        <w:rPr>
          <w:color w:val="auto"/>
          <w:highlight w:val="none"/>
        </w:rPr>
        <w:fldChar w:fldCharType="separate"/>
      </w:r>
      <w:r>
        <w:rPr>
          <w:rStyle w:val="18"/>
          <w:rFonts w:hint="eastAsia" w:ascii="黑体" w:eastAsia="黑体" w:cs="黑体"/>
          <w:b/>
          <w:color w:val="auto"/>
          <w:highlight w:val="none"/>
          <w:u w:val="none"/>
        </w:rPr>
        <w:t xml:space="preserve">2 </w:t>
      </w:r>
      <w:r>
        <w:rPr>
          <w:rStyle w:val="18"/>
          <w:rFonts w:eastAsia="黑体"/>
          <w:b/>
          <w:color w:val="auto"/>
          <w:highlight w:val="none"/>
          <w:u w:val="none"/>
        </w:rPr>
        <w:t>Terms</w:t>
      </w:r>
      <w:r>
        <w:rPr>
          <w:color w:val="auto"/>
          <w:highlight w:val="none"/>
        </w:rPr>
        <w:tab/>
      </w:r>
      <w:r>
        <w:rPr>
          <w:color w:val="auto"/>
          <w:highlight w:val="none"/>
        </w:rPr>
        <w:fldChar w:fldCharType="begin"/>
      </w:r>
      <w:r>
        <w:rPr>
          <w:color w:val="auto"/>
          <w:highlight w:val="none"/>
        </w:rPr>
        <w:instrText xml:space="preserve"> PAGEREF _Toc10368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E86F3B4">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"_Toc24093" </w:instrText>
      </w:r>
      <w:r>
        <w:rPr>
          <w:color w:val="auto"/>
          <w:highlight w:val="none"/>
        </w:rPr>
        <w:fldChar w:fldCharType="separate"/>
      </w:r>
      <w:r>
        <w:rPr>
          <w:rStyle w:val="18"/>
          <w:rFonts w:hint="eastAsia" w:ascii="黑体" w:eastAsia="黑体" w:cs="黑体"/>
          <w:b/>
          <w:color w:val="auto"/>
          <w:highlight w:val="none"/>
          <w:u w:val="none"/>
        </w:rPr>
        <w:t xml:space="preserve">3 </w:t>
      </w:r>
      <w:r>
        <w:rPr>
          <w:rStyle w:val="18"/>
          <w:rFonts w:eastAsia="黑体"/>
          <w:b/>
          <w:color w:val="auto"/>
          <w:highlight w:val="none"/>
          <w:u w:val="none"/>
        </w:rPr>
        <w:t>Basic Requirements</w:t>
      </w:r>
      <w:r>
        <w:rPr>
          <w:color w:val="auto"/>
          <w:highlight w:val="none"/>
        </w:rPr>
        <w:tab/>
      </w:r>
      <w:r>
        <w:rPr>
          <w:color w:val="auto"/>
          <w:highlight w:val="none"/>
        </w:rPr>
        <w:fldChar w:fldCharType="begin"/>
      </w:r>
      <w:r>
        <w:rPr>
          <w:color w:val="auto"/>
          <w:highlight w:val="none"/>
        </w:rPr>
        <w:instrText xml:space="preserve"> PAGEREF _Toc24093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A402A1E">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"_Toc19339" </w:instrText>
      </w:r>
      <w:r>
        <w:rPr>
          <w:color w:val="auto"/>
          <w:highlight w:val="none"/>
        </w:rPr>
        <w:fldChar w:fldCharType="separate"/>
      </w:r>
      <w:r>
        <w:rPr>
          <w:rFonts w:hint="eastAsia" w:ascii="黑体" w:hAnsi="黑体" w:eastAsia="黑体"/>
          <w:color w:val="auto"/>
          <w:kern w:val="0"/>
          <w:sz w:val="20"/>
          <w:szCs w:val="20"/>
          <w:highlight w:val="none"/>
        </w:rPr>
        <w:t>3.1</w:t>
      </w:r>
      <w:r>
        <w:rPr>
          <w:rFonts w:hint="eastAsia" w:ascii="黑体" w:hAnsi="黑体" w:eastAsia="黑体"/>
          <w:color w:val="auto"/>
          <w:kern w:val="0"/>
          <w:highlight w:val="none"/>
        </w:rPr>
        <w:t xml:space="preserve"> </w:t>
      </w:r>
      <w:r>
        <w:rPr>
          <w:rStyle w:val="18"/>
          <w:color w:val="auto"/>
          <w:highlight w:val="none"/>
          <w:u w:val="none"/>
        </w:rPr>
        <w:t>General Requirements</w:t>
      </w:r>
      <w:r>
        <w:rPr>
          <w:color w:val="auto"/>
          <w:highlight w:val="none"/>
        </w:rPr>
        <w:tab/>
      </w:r>
      <w:r>
        <w:rPr>
          <w:color w:val="auto"/>
          <w:highlight w:val="none"/>
        </w:rPr>
        <w:fldChar w:fldCharType="begin"/>
      </w:r>
      <w:r>
        <w:rPr>
          <w:color w:val="auto"/>
          <w:highlight w:val="none"/>
        </w:rPr>
        <w:instrText xml:space="preserve"> PAGEREF _Toc19339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A9C7FC4">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"_Toc19422" </w:instrText>
      </w:r>
      <w:r>
        <w:rPr>
          <w:color w:val="auto"/>
          <w:highlight w:val="none"/>
        </w:rPr>
        <w:fldChar w:fldCharType="separate"/>
      </w:r>
      <w:r>
        <w:rPr>
          <w:rFonts w:hint="eastAsia" w:ascii="黑体" w:hAnsi="黑体" w:eastAsia="黑体"/>
          <w:color w:val="auto"/>
          <w:kern w:val="0"/>
          <w:sz w:val="20"/>
          <w:szCs w:val="20"/>
          <w:highlight w:val="none"/>
        </w:rPr>
        <w:t>3.2</w:t>
      </w:r>
      <w:r>
        <w:rPr>
          <w:rFonts w:hint="eastAsia" w:ascii="黑体" w:hAnsi="黑体" w:eastAsia="黑体"/>
          <w:color w:val="auto"/>
          <w:kern w:val="0"/>
          <w:highlight w:val="none"/>
        </w:rPr>
        <w:t xml:space="preserve"> </w:t>
      </w:r>
      <w:r>
        <w:rPr>
          <w:rStyle w:val="18"/>
          <w:color w:val="auto"/>
          <w:highlight w:val="none"/>
          <w:u w:val="none"/>
        </w:rPr>
        <w:t>Collaborative Requirements</w:t>
      </w:r>
      <w:r>
        <w:rPr>
          <w:color w:val="auto"/>
          <w:highlight w:val="none"/>
        </w:rPr>
        <w:tab/>
      </w:r>
      <w:r>
        <w:rPr>
          <w:color w:val="auto"/>
          <w:highlight w:val="none"/>
        </w:rPr>
        <w:fldChar w:fldCharType="begin"/>
      </w:r>
      <w:r>
        <w:rPr>
          <w:color w:val="auto"/>
          <w:highlight w:val="none"/>
        </w:rPr>
        <w:instrText xml:space="preserve"> PAGEREF _Toc19422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0DE44E3">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"_Toc22205" </w:instrText>
      </w:r>
      <w:r>
        <w:rPr>
          <w:color w:val="auto"/>
          <w:highlight w:val="none"/>
        </w:rPr>
        <w:fldChar w:fldCharType="separate"/>
      </w:r>
      <w:r>
        <w:rPr>
          <w:rFonts w:hint="eastAsia" w:ascii="黑体" w:hAnsi="黑体" w:eastAsia="黑体"/>
          <w:color w:val="auto"/>
          <w:kern w:val="0"/>
          <w:highlight w:val="none"/>
        </w:rPr>
        <w:t xml:space="preserve">3.3 </w:t>
      </w:r>
      <w:r>
        <w:rPr>
          <w:rFonts w:hint="eastAsia"/>
          <w:color w:val="auto"/>
          <w:highlight w:val="none"/>
        </w:rPr>
        <w:t>Implement planning</w:t>
      </w:r>
      <w:r>
        <w:rPr>
          <w:color w:val="auto"/>
          <w:highlight w:val="none"/>
        </w:rPr>
        <w:tab/>
      </w:r>
      <w:r>
        <w:rPr>
          <w:color w:val="auto"/>
          <w:highlight w:val="none"/>
        </w:rPr>
        <w:fldChar w:fldCharType="begin"/>
      </w:r>
      <w:r>
        <w:rPr>
          <w:color w:val="auto"/>
          <w:highlight w:val="none"/>
        </w:rPr>
        <w:instrText xml:space="preserve"> PAGEREF _Toc22205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A05ABA0">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"_Toc8587" </w:instrText>
      </w:r>
      <w:r>
        <w:rPr>
          <w:color w:val="auto"/>
          <w:highlight w:val="none"/>
        </w:rPr>
        <w:fldChar w:fldCharType="separate"/>
      </w:r>
      <w:r>
        <w:rPr>
          <w:rFonts w:hint="eastAsia" w:ascii="黑体" w:hAnsi="黑体" w:eastAsia="黑体"/>
          <w:color w:val="auto"/>
          <w:highlight w:val="none"/>
        </w:rPr>
        <w:t xml:space="preserve">4 </w:t>
      </w:r>
      <w:r>
        <w:rPr>
          <w:rStyle w:val="18"/>
          <w:b/>
          <w:color w:val="auto"/>
          <w:highlight w:val="none"/>
          <w:u w:val="none"/>
        </w:rPr>
        <w:t>Feasibility Stage</w:t>
      </w:r>
      <w:r>
        <w:rPr>
          <w:color w:val="auto"/>
          <w:highlight w:val="none"/>
        </w:rPr>
        <w:tab/>
      </w:r>
      <w:r>
        <w:rPr>
          <w:color w:val="auto"/>
          <w:highlight w:val="none"/>
        </w:rPr>
        <w:fldChar w:fldCharType="begin"/>
      </w:r>
      <w:r>
        <w:rPr>
          <w:color w:val="auto"/>
          <w:highlight w:val="none"/>
        </w:rPr>
        <w:instrText xml:space="preserve"> PAGEREF _Toc8587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696204C">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"_Toc4623" </w:instrText>
      </w:r>
      <w:r>
        <w:rPr>
          <w:color w:val="auto"/>
          <w:highlight w:val="none"/>
        </w:rPr>
        <w:fldChar w:fldCharType="separate"/>
      </w:r>
      <w:r>
        <w:rPr>
          <w:rFonts w:hint="eastAsia" w:ascii="黑体" w:hAnsi="黑体" w:eastAsia="黑体"/>
          <w:color w:val="auto"/>
          <w:kern w:val="0"/>
          <w:highlight w:val="none"/>
        </w:rPr>
        <w:t xml:space="preserve">4.1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_Toc4623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861D12A">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"_Toc21543" </w:instrText>
      </w:r>
      <w:r>
        <w:rPr>
          <w:color w:val="auto"/>
          <w:highlight w:val="none"/>
        </w:rPr>
        <w:fldChar w:fldCharType="separate"/>
      </w:r>
      <w:r>
        <w:rPr>
          <w:rFonts w:hint="eastAsia" w:ascii="黑体" w:hAnsi="黑体" w:eastAsia="黑体"/>
          <w:color w:val="auto"/>
          <w:kern w:val="0"/>
          <w:highlight w:val="none"/>
        </w:rPr>
        <w:t xml:space="preserve">4.2 </w:t>
      </w:r>
      <w:r>
        <w:rPr>
          <w:rStyle w:val="18"/>
          <w:color w:val="auto"/>
          <w:highlight w:val="none"/>
          <w:u w:val="none"/>
        </w:rPr>
        <w:t>Planning and Control Management</w:t>
      </w:r>
      <w:r>
        <w:rPr>
          <w:color w:val="auto"/>
          <w:highlight w:val="none"/>
        </w:rPr>
        <w:tab/>
      </w:r>
      <w:r>
        <w:rPr>
          <w:color w:val="auto"/>
          <w:highlight w:val="none"/>
        </w:rPr>
        <w:fldChar w:fldCharType="begin"/>
      </w:r>
      <w:r>
        <w:rPr>
          <w:color w:val="auto"/>
          <w:highlight w:val="none"/>
        </w:rPr>
        <w:instrText xml:space="preserve"> PAGEREF _Toc21543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2</w:t>
      </w:r>
    </w:p>
    <w:p w14:paraId="2BA1EBA9">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"_Toc32677" </w:instrText>
      </w:r>
      <w:r>
        <w:rPr>
          <w:color w:val="auto"/>
          <w:highlight w:val="none"/>
        </w:rPr>
        <w:fldChar w:fldCharType="separate"/>
      </w:r>
      <w:r>
        <w:rPr>
          <w:rFonts w:hint="eastAsia" w:ascii="黑体" w:hAnsi="黑体" w:eastAsia="黑体"/>
          <w:color w:val="auto"/>
          <w:kern w:val="0"/>
          <w:highlight w:val="none"/>
        </w:rPr>
        <w:t xml:space="preserve">4.3 </w:t>
      </w:r>
      <w:r>
        <w:rPr>
          <w:rStyle w:val="18"/>
          <w:color w:val="auto"/>
          <w:highlight w:val="none"/>
          <w:u w:val="none"/>
        </w:rPr>
        <w:t>Surrounding Environment Analysis</w:t>
      </w:r>
      <w:r>
        <w:rPr>
          <w:color w:val="auto"/>
          <w:highlight w:val="none"/>
        </w:rPr>
        <w:tab/>
      </w:r>
      <w:r>
        <w:rPr>
          <w:color w:val="auto"/>
          <w:highlight w:val="none"/>
        </w:rPr>
        <w:fldChar w:fldCharType="begin"/>
      </w:r>
      <w:r>
        <w:rPr>
          <w:color w:val="auto"/>
          <w:highlight w:val="none"/>
        </w:rPr>
        <w:instrText xml:space="preserve"> PAGEREF _Toc32677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2</w:t>
      </w:r>
    </w:p>
    <w:p w14:paraId="7DDA7D18">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"_Toc25034" </w:instrText>
      </w:r>
      <w:r>
        <w:rPr>
          <w:color w:val="auto"/>
          <w:highlight w:val="none"/>
        </w:rPr>
        <w:fldChar w:fldCharType="separate"/>
      </w:r>
      <w:r>
        <w:rPr>
          <w:rFonts w:hint="eastAsia" w:ascii="黑体" w:hAnsi="黑体" w:eastAsia="黑体"/>
          <w:color w:val="auto"/>
          <w:kern w:val="0"/>
          <w:highlight w:val="none"/>
        </w:rPr>
        <w:t xml:space="preserve">4.4 </w:t>
      </w:r>
      <w:r>
        <w:rPr>
          <w:rStyle w:val="18"/>
          <w:color w:val="auto"/>
          <w:highlight w:val="none"/>
          <w:u w:val="none"/>
        </w:rPr>
        <w:t>Scheme Comparision</w:t>
      </w:r>
      <w:r>
        <w:rPr>
          <w:color w:val="auto"/>
          <w:highlight w:val="none"/>
        </w:rPr>
        <w:tab/>
      </w:r>
      <w:r>
        <w:rPr>
          <w:color w:val="auto"/>
          <w:highlight w:val="none"/>
        </w:rPr>
        <w:fldChar w:fldCharType="begin"/>
      </w:r>
      <w:r>
        <w:rPr>
          <w:color w:val="auto"/>
          <w:highlight w:val="none"/>
        </w:rPr>
        <w:instrText xml:space="preserve"> PAGEREF _Toc25034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3</w:t>
      </w:r>
    </w:p>
    <w:p w14:paraId="41FE0598">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"_Toc8112" </w:instrText>
      </w:r>
      <w:r>
        <w:rPr>
          <w:color w:val="auto"/>
          <w:highlight w:val="none"/>
        </w:rPr>
        <w:fldChar w:fldCharType="separate"/>
      </w:r>
      <w:r>
        <w:rPr>
          <w:rFonts w:hint="eastAsia" w:ascii="黑体" w:hAnsi="黑体" w:eastAsia="黑体"/>
          <w:color w:val="auto"/>
          <w:highlight w:val="none"/>
        </w:rPr>
        <w:t xml:space="preserve">5 </w:t>
      </w:r>
      <w:r>
        <w:rPr>
          <w:rStyle w:val="18"/>
          <w:b/>
          <w:color w:val="auto"/>
          <w:highlight w:val="none"/>
          <w:u w:val="none"/>
        </w:rPr>
        <w:t>Preliminary Design Stage</w:t>
      </w:r>
      <w:r>
        <w:rPr>
          <w:color w:val="auto"/>
          <w:highlight w:val="none"/>
        </w:rPr>
        <w:tab/>
      </w:r>
      <w:r>
        <w:rPr>
          <w:color w:val="auto"/>
          <w:highlight w:val="none"/>
        </w:rPr>
        <w:fldChar w:fldCharType="begin"/>
      </w:r>
      <w:r>
        <w:rPr>
          <w:color w:val="auto"/>
          <w:highlight w:val="none"/>
        </w:rPr>
        <w:instrText xml:space="preserve"> PAGEREF _Toc8112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4</w:t>
      </w:r>
    </w:p>
    <w:p w14:paraId="49296612">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"_Toc17010" </w:instrText>
      </w:r>
      <w:r>
        <w:rPr>
          <w:color w:val="auto"/>
          <w:highlight w:val="none"/>
        </w:rPr>
        <w:fldChar w:fldCharType="separate"/>
      </w:r>
      <w:r>
        <w:rPr>
          <w:rFonts w:hint="eastAsia" w:ascii="黑体" w:hAnsi="黑体" w:eastAsia="黑体"/>
          <w:color w:val="auto"/>
          <w:kern w:val="0"/>
          <w:highlight w:val="none"/>
        </w:rPr>
        <w:t xml:space="preserve">5.1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_Toc17010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4</w:t>
      </w:r>
    </w:p>
    <w:p w14:paraId="543D8FD0">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"_Toc26748" </w:instrText>
      </w:r>
      <w:r>
        <w:rPr>
          <w:color w:val="auto"/>
          <w:highlight w:val="none"/>
        </w:rPr>
        <w:fldChar w:fldCharType="separate"/>
      </w:r>
      <w:r>
        <w:rPr>
          <w:rFonts w:hint="eastAsia" w:ascii="黑体" w:hAnsi="黑体" w:eastAsia="黑体"/>
          <w:color w:val="auto"/>
          <w:kern w:val="0"/>
          <w:highlight w:val="none"/>
        </w:rPr>
        <w:t xml:space="preserve">5.2 </w:t>
      </w:r>
      <w:r>
        <w:rPr>
          <w:rStyle w:val="18"/>
          <w:color w:val="auto"/>
          <w:highlight w:val="none"/>
          <w:u w:val="none"/>
        </w:rPr>
        <w:t>Controlling Factor Analysis</w:t>
      </w:r>
      <w:r>
        <w:rPr>
          <w:color w:val="auto"/>
          <w:highlight w:val="none"/>
        </w:rPr>
        <w:tab/>
      </w:r>
      <w:r>
        <w:rPr>
          <w:color w:val="auto"/>
          <w:highlight w:val="none"/>
        </w:rPr>
        <w:fldChar w:fldCharType="begin"/>
      </w:r>
      <w:r>
        <w:rPr>
          <w:color w:val="auto"/>
          <w:highlight w:val="none"/>
        </w:rPr>
        <w:instrText xml:space="preserve"> PAGEREF _Toc26748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4</w:t>
      </w:r>
    </w:p>
    <w:p w14:paraId="58C2FF25">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"_Toc8284" </w:instrText>
      </w:r>
      <w:r>
        <w:rPr>
          <w:color w:val="auto"/>
          <w:highlight w:val="none"/>
        </w:rPr>
        <w:fldChar w:fldCharType="separate"/>
      </w:r>
      <w:r>
        <w:rPr>
          <w:rFonts w:hint="eastAsia" w:ascii="黑体" w:hAnsi="黑体" w:eastAsia="黑体"/>
          <w:color w:val="auto"/>
          <w:kern w:val="0"/>
          <w:highlight w:val="none"/>
        </w:rPr>
        <w:t xml:space="preserve">5.3 </w:t>
      </w:r>
      <w:r>
        <w:rPr>
          <w:rStyle w:val="18"/>
          <w:color w:val="auto"/>
          <w:highlight w:val="none"/>
          <w:u w:val="none"/>
        </w:rPr>
        <w:t>Traffic Planning Simulation</w:t>
      </w:r>
      <w:r>
        <w:rPr>
          <w:color w:val="auto"/>
          <w:highlight w:val="none"/>
        </w:rPr>
        <w:tab/>
      </w:r>
      <w:r>
        <w:rPr>
          <w:color w:val="auto"/>
          <w:highlight w:val="none"/>
        </w:rPr>
        <w:fldChar w:fldCharType="end"/>
      </w:r>
      <w:r>
        <w:rPr>
          <w:rFonts w:hint="eastAsia"/>
          <w:color w:val="auto"/>
          <w:highlight w:val="none"/>
          <w:lang w:val="en-US" w:eastAsia="zh-CN"/>
        </w:rPr>
        <w:t>14</w:t>
      </w:r>
    </w:p>
    <w:p w14:paraId="4BC30D73">
      <w:pPr>
        <w:pStyle w:val="11"/>
        <w:tabs>
          <w:tab w:val="right" w:leader="dot" w:pos="9354"/>
          <w:tab w:val="clear" w:pos="1470"/>
          <w:tab w:val="clear" w:pos="8296"/>
        </w:tabs>
        <w:rPr>
          <w:rFonts w:hint="eastAsia" w:eastAsiaTheme="minorEastAsia"/>
          <w:color w:val="auto"/>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_Toc15346 </w:instrText>
      </w:r>
      <w:r>
        <w:rPr>
          <w:rFonts w:asciiTheme="minorEastAsia" w:hAnsiTheme="minorEastAsia" w:eastAsiaTheme="minorEastAsia"/>
          <w:color w:val="auto"/>
          <w:szCs w:val="21"/>
          <w:highlight w:val="none"/>
        </w:rPr>
        <w:fldChar w:fldCharType="separate"/>
      </w:r>
      <w:r>
        <w:rPr>
          <w:rFonts w:hint="eastAsia" w:ascii="黑体" w:hAnsi="黑体" w:eastAsia="黑体"/>
          <w:color w:val="auto"/>
          <w:kern w:val="0"/>
          <w:highlight w:val="none"/>
        </w:rPr>
        <w:t xml:space="preserve">5.4 </w:t>
      </w:r>
      <w:r>
        <w:rPr>
          <w:rStyle w:val="18"/>
          <w:color w:val="auto"/>
          <w:highlight w:val="none"/>
          <w:u w:val="none"/>
        </w:rPr>
        <w:t>Pipeline Relocation Simulation</w:t>
      </w:r>
      <w:r>
        <w:rPr>
          <w:color w:val="auto"/>
          <w:highlight w:val="none"/>
        </w:rPr>
        <w:tab/>
      </w:r>
      <w:r>
        <w:rPr>
          <w:color w:val="auto"/>
          <w:highlight w:val="none"/>
        </w:rPr>
        <w:fldChar w:fldCharType="begin"/>
      </w:r>
      <w:r>
        <w:rPr>
          <w:color w:val="auto"/>
          <w:highlight w:val="none"/>
        </w:rPr>
        <w:instrText xml:space="preserve"> PAGEREF _Toc15346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5</w:t>
      </w:r>
    </w:p>
    <w:p w14:paraId="14E7DAE8">
      <w:pPr>
        <w:pStyle w:val="11"/>
        <w:tabs>
          <w:tab w:val="right" w:leader="dot" w:pos="9354"/>
          <w:tab w:val="clear" w:pos="1470"/>
          <w:tab w:val="clear" w:pos="8296"/>
        </w:tabs>
        <w:rPr>
          <w:rFonts w:hint="eastAsia" w:eastAsiaTheme="minorEastAsia"/>
          <w:color w:val="auto"/>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_Toc7169 </w:instrText>
      </w:r>
      <w:r>
        <w:rPr>
          <w:rFonts w:asciiTheme="minorEastAsia" w:hAnsiTheme="minorEastAsia" w:eastAsiaTheme="minorEastAsia"/>
          <w:color w:val="auto"/>
          <w:szCs w:val="21"/>
          <w:highlight w:val="none"/>
        </w:rPr>
        <w:fldChar w:fldCharType="separate"/>
      </w:r>
      <w:r>
        <w:rPr>
          <w:rFonts w:hint="eastAsia" w:ascii="黑体" w:hAnsi="黑体" w:eastAsia="黑体"/>
          <w:color w:val="auto"/>
          <w:kern w:val="0"/>
          <w:highlight w:val="none"/>
        </w:rPr>
        <w:t xml:space="preserve">5.5 </w:t>
      </w:r>
      <w:r>
        <w:rPr>
          <w:rStyle w:val="18"/>
          <w:color w:val="auto"/>
          <w:highlight w:val="none"/>
          <w:u w:val="none"/>
        </w:rPr>
        <w:t>Design Scheme Deepening</w:t>
      </w:r>
      <w:r>
        <w:rPr>
          <w:color w:val="auto"/>
          <w:highlight w:val="none"/>
        </w:rPr>
        <w:tab/>
      </w:r>
      <w:r>
        <w:rPr>
          <w:color w:val="auto"/>
          <w:highlight w:val="none"/>
        </w:rPr>
        <w:fldChar w:fldCharType="begin"/>
      </w:r>
      <w:r>
        <w:rPr>
          <w:color w:val="auto"/>
          <w:highlight w:val="none"/>
        </w:rPr>
        <w:instrText xml:space="preserve"> PAGEREF _Toc7169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5</w:t>
      </w:r>
    </w:p>
    <w:p w14:paraId="465E42FF">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"_Toc16690" </w:instrText>
      </w:r>
      <w:r>
        <w:rPr>
          <w:color w:val="auto"/>
          <w:highlight w:val="none"/>
        </w:rPr>
        <w:fldChar w:fldCharType="separate"/>
      </w:r>
      <w:r>
        <w:rPr>
          <w:rFonts w:hint="eastAsia" w:ascii="黑体" w:hAnsi="黑体" w:eastAsia="黑体"/>
          <w:color w:val="auto"/>
          <w:highlight w:val="none"/>
        </w:rPr>
        <w:t xml:space="preserve">6 </w:t>
      </w:r>
      <w:r>
        <w:rPr>
          <w:rStyle w:val="18"/>
          <w:b/>
          <w:color w:val="auto"/>
          <w:highlight w:val="none"/>
          <w:u w:val="none"/>
        </w:rPr>
        <w:t>Construction Documents Design Stage</w:t>
      </w:r>
      <w:r>
        <w:rPr>
          <w:color w:val="auto"/>
          <w:highlight w:val="none"/>
        </w:rPr>
        <w:tab/>
      </w:r>
      <w:r>
        <w:rPr>
          <w:color w:val="auto"/>
          <w:highlight w:val="none"/>
        </w:rPr>
        <w:fldChar w:fldCharType="begin"/>
      </w:r>
      <w:r>
        <w:rPr>
          <w:color w:val="auto"/>
          <w:highlight w:val="none"/>
        </w:rPr>
        <w:instrText xml:space="preserve"> PAGEREF _Toc16690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93D15F1">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"_Toc19476" </w:instrText>
      </w:r>
      <w:r>
        <w:rPr>
          <w:color w:val="auto"/>
          <w:highlight w:val="none"/>
        </w:rPr>
        <w:fldChar w:fldCharType="separate"/>
      </w:r>
      <w:r>
        <w:rPr>
          <w:rFonts w:hint="eastAsia" w:ascii="黑体" w:hAnsi="黑体" w:eastAsia="黑体"/>
          <w:color w:val="auto"/>
          <w:kern w:val="0"/>
          <w:highlight w:val="none"/>
        </w:rPr>
        <w:t xml:space="preserve">6.1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_Toc19476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7</w:t>
      </w:r>
    </w:p>
    <w:p w14:paraId="277F8835">
      <w:pPr>
        <w:pStyle w:val="11"/>
        <w:tabs>
          <w:tab w:val="right" w:leader="dot" w:pos="9354"/>
          <w:tab w:val="clear" w:pos="1470"/>
          <w:tab w:val="clear" w:pos="8296"/>
        </w:tabs>
        <w:rPr>
          <w:rFonts w:hint="eastAsia" w:eastAsiaTheme="minorEastAsia"/>
          <w:color w:val="auto"/>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_Toc15853 </w:instrText>
      </w:r>
      <w:r>
        <w:rPr>
          <w:rFonts w:asciiTheme="minorEastAsia" w:hAnsiTheme="minorEastAsia" w:eastAsiaTheme="minorEastAsia"/>
          <w:color w:val="auto"/>
          <w:szCs w:val="21"/>
          <w:highlight w:val="none"/>
        </w:rPr>
        <w:fldChar w:fldCharType="separate"/>
      </w:r>
      <w:r>
        <w:rPr>
          <w:rFonts w:hint="eastAsia" w:ascii="黑体" w:hAnsi="黑体" w:eastAsia="黑体"/>
          <w:color w:val="auto"/>
          <w:kern w:val="0"/>
          <w:highlight w:val="none"/>
        </w:rPr>
        <w:t xml:space="preserve">6.2 </w:t>
      </w:r>
      <w:r>
        <w:rPr>
          <w:rStyle w:val="18"/>
          <w:color w:val="auto"/>
          <w:highlight w:val="none"/>
          <w:u w:val="none"/>
        </w:rPr>
        <w:t>Pipelines Comp</w:t>
      </w:r>
      <w:r>
        <w:rPr>
          <w:rStyle w:val="18"/>
          <w:rFonts w:hint="eastAsia"/>
          <w:color w:val="auto"/>
          <w:highlight w:val="none"/>
          <w:u w:val="none"/>
        </w:rPr>
        <w:t>re</w:t>
      </w:r>
      <w:r>
        <w:rPr>
          <w:rStyle w:val="18"/>
          <w:color w:val="auto"/>
          <w:highlight w:val="none"/>
          <w:u w:val="none"/>
        </w:rPr>
        <w:t>hensive Design and Collision Detection</w:t>
      </w:r>
      <w:r>
        <w:rPr>
          <w:color w:val="auto"/>
          <w:highlight w:val="none"/>
        </w:rPr>
        <w:tab/>
      </w:r>
      <w:r>
        <w:rPr>
          <w:color w:val="auto"/>
          <w:highlight w:val="none"/>
        </w:rPr>
        <w:fldChar w:fldCharType="begin"/>
      </w:r>
      <w:r>
        <w:rPr>
          <w:color w:val="auto"/>
          <w:highlight w:val="none"/>
        </w:rPr>
        <w:instrText xml:space="preserve"> PAGEREF _Toc15853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7</w:t>
      </w:r>
    </w:p>
    <w:p w14:paraId="629921EF">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"_Toc21148" </w:instrText>
      </w:r>
      <w:r>
        <w:rPr>
          <w:color w:val="auto"/>
          <w:highlight w:val="none"/>
        </w:rPr>
        <w:fldChar w:fldCharType="separate"/>
      </w:r>
      <w:r>
        <w:rPr>
          <w:rFonts w:hint="eastAsia" w:ascii="黑体" w:hAnsi="黑体" w:eastAsia="黑体"/>
          <w:color w:val="auto"/>
          <w:kern w:val="0"/>
          <w:highlight w:val="none"/>
        </w:rPr>
        <w:t xml:space="preserve">6.3 </w:t>
      </w:r>
      <w:r>
        <w:rPr>
          <w:rStyle w:val="18"/>
          <w:color w:val="auto"/>
          <w:highlight w:val="none"/>
          <w:u w:val="none"/>
        </w:rPr>
        <w:t>Clearcance Check</w:t>
      </w:r>
      <w:r>
        <w:rPr>
          <w:color w:val="auto"/>
          <w:highlight w:val="none"/>
        </w:rPr>
        <w:tab/>
      </w:r>
      <w:r>
        <w:rPr>
          <w:color w:val="auto"/>
          <w:highlight w:val="none"/>
        </w:rPr>
        <w:fldChar w:fldCharType="begin"/>
      </w:r>
      <w:r>
        <w:rPr>
          <w:color w:val="auto"/>
          <w:highlight w:val="none"/>
        </w:rPr>
        <w:instrText xml:space="preserve"> PAGEREF _Toc21148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7</w:t>
      </w:r>
    </w:p>
    <w:p w14:paraId="27B7AF02">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"_Toc12496" </w:instrText>
      </w:r>
      <w:r>
        <w:rPr>
          <w:color w:val="auto"/>
          <w:highlight w:val="none"/>
        </w:rPr>
        <w:fldChar w:fldCharType="separate"/>
      </w:r>
      <w:r>
        <w:rPr>
          <w:rFonts w:hint="eastAsia" w:ascii="黑体" w:hAnsi="黑体" w:eastAsia="黑体"/>
          <w:color w:val="auto"/>
          <w:kern w:val="0"/>
          <w:highlight w:val="none"/>
        </w:rPr>
        <w:t xml:space="preserve">6.4 </w:t>
      </w:r>
      <w:r>
        <w:rPr>
          <w:rStyle w:val="18"/>
          <w:color w:val="auto"/>
          <w:highlight w:val="none"/>
          <w:u w:val="none"/>
        </w:rPr>
        <w:t>Reserved and Embedded Parts Detection</w:t>
      </w:r>
      <w:r>
        <w:rPr>
          <w:color w:val="auto"/>
          <w:highlight w:val="none"/>
        </w:rPr>
        <w:tab/>
      </w:r>
      <w:r>
        <w:rPr>
          <w:color w:val="auto"/>
          <w:highlight w:val="none"/>
        </w:rPr>
        <w:fldChar w:fldCharType="begin"/>
      </w:r>
      <w:r>
        <w:rPr>
          <w:color w:val="auto"/>
          <w:highlight w:val="none"/>
        </w:rPr>
        <w:instrText xml:space="preserve"> PAGEREF _Toc12496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8</w:t>
      </w:r>
    </w:p>
    <w:p w14:paraId="4CC1A9C1">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黑体" w:hAnsi="黑体" w:eastAsia="黑体"/>
          <w:color w:val="auto"/>
          <w:kern w:val="0"/>
          <w:highlight w:val="none"/>
        </w:rPr>
        <w:t xml:space="preserve">6.5 </w:t>
      </w:r>
      <w:r>
        <w:rPr>
          <w:rStyle w:val="18"/>
          <w:color w:val="auto"/>
          <w:highlight w:val="none"/>
          <w:u w:val="none"/>
        </w:rPr>
        <w:t>Engineering Quantity Review</w:t>
      </w:r>
      <w:r>
        <w:rPr>
          <w:color w:val="auto"/>
          <w:highlight w:val="none"/>
        </w:rPr>
        <w:tab/>
      </w:r>
      <w:r>
        <w:rPr>
          <w:color w:val="auto"/>
          <w:highlight w:val="none"/>
        </w:rPr>
        <w:fldChar w:fldCharType="begin"/>
      </w:r>
      <w:r>
        <w:rPr>
          <w:color w:val="auto"/>
          <w:highlight w:val="none"/>
        </w:rPr>
        <w:instrText xml:space="preserve"> PAGEREF _Toc28829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8</w:t>
      </w:r>
    </w:p>
    <w:p w14:paraId="358C08A6">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"_Toc26651" </w:instrText>
      </w:r>
      <w:r>
        <w:rPr>
          <w:color w:val="auto"/>
          <w:highlight w:val="none"/>
        </w:rPr>
        <w:fldChar w:fldCharType="separate"/>
      </w:r>
      <w:r>
        <w:rPr>
          <w:rFonts w:hint="eastAsia" w:ascii="黑体" w:hAnsi="黑体" w:eastAsia="黑体"/>
          <w:color w:val="auto"/>
          <w:highlight w:val="none"/>
        </w:rPr>
        <w:t xml:space="preserve">7 </w:t>
      </w:r>
      <w:r>
        <w:rPr>
          <w:rStyle w:val="18"/>
          <w:b/>
          <w:color w:val="auto"/>
          <w:highlight w:val="none"/>
          <w:u w:val="none"/>
        </w:rPr>
        <w:t>Construction Documents Deepening Stage</w:t>
      </w:r>
      <w:r>
        <w:rPr>
          <w:color w:val="auto"/>
          <w:highlight w:val="none"/>
        </w:rPr>
        <w:tab/>
      </w:r>
      <w:r>
        <w:rPr>
          <w:color w:val="auto"/>
          <w:highlight w:val="none"/>
        </w:rPr>
        <w:fldChar w:fldCharType="begin"/>
      </w:r>
      <w:r>
        <w:rPr>
          <w:color w:val="auto"/>
          <w:highlight w:val="none"/>
        </w:rPr>
        <w:instrText xml:space="preserve"> PAGEREF _Toc26651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9</w:t>
      </w:r>
    </w:p>
    <w:p w14:paraId="5834A238">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"_Toc13741" </w:instrText>
      </w:r>
      <w:r>
        <w:rPr>
          <w:color w:val="auto"/>
          <w:highlight w:val="none"/>
        </w:rPr>
        <w:fldChar w:fldCharType="separate"/>
      </w:r>
      <w:r>
        <w:rPr>
          <w:rFonts w:hint="eastAsia" w:ascii="黑体" w:hAnsi="黑体" w:eastAsia="黑体"/>
          <w:color w:val="auto"/>
          <w:kern w:val="0"/>
          <w:highlight w:val="none"/>
        </w:rPr>
        <w:t xml:space="preserve">7.1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_Toc13741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64016FB">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"_Toc8503" </w:instrText>
      </w:r>
      <w:r>
        <w:rPr>
          <w:color w:val="auto"/>
          <w:highlight w:val="none"/>
        </w:rPr>
        <w:fldChar w:fldCharType="separate"/>
      </w:r>
      <w:r>
        <w:rPr>
          <w:rFonts w:hint="eastAsia" w:ascii="黑体" w:hAnsi="黑体" w:eastAsia="黑体"/>
          <w:color w:val="auto"/>
          <w:kern w:val="0"/>
          <w:highlight w:val="none"/>
        </w:rPr>
        <w:t xml:space="preserve">7.2 </w:t>
      </w:r>
      <w:r>
        <w:rPr>
          <w:rStyle w:val="18"/>
          <w:color w:val="auto"/>
          <w:highlight w:val="none"/>
          <w:u w:val="none"/>
        </w:rPr>
        <w:t>Deepening of prefabricated components</w:t>
      </w:r>
      <w:r>
        <w:rPr>
          <w:color w:val="auto"/>
          <w:highlight w:val="none"/>
        </w:rPr>
        <w:tab/>
      </w:r>
      <w:r>
        <w:rPr>
          <w:color w:val="auto"/>
          <w:highlight w:val="none"/>
        </w:rPr>
        <w:fldChar w:fldCharType="begin"/>
      </w:r>
      <w:r>
        <w:rPr>
          <w:color w:val="auto"/>
          <w:highlight w:val="none"/>
        </w:rPr>
        <w:instrText xml:space="preserve"> PAGEREF _Toc8503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3BE96D1">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"_Toc22348" </w:instrText>
      </w:r>
      <w:r>
        <w:rPr>
          <w:color w:val="auto"/>
          <w:highlight w:val="none"/>
        </w:rPr>
        <w:fldChar w:fldCharType="separate"/>
      </w:r>
      <w:r>
        <w:rPr>
          <w:rFonts w:hint="eastAsia" w:ascii="黑体" w:hAnsi="黑体" w:eastAsia="黑体"/>
          <w:color w:val="auto"/>
          <w:kern w:val="0"/>
          <w:highlight w:val="none"/>
        </w:rPr>
        <w:t xml:space="preserve">7.3 </w:t>
      </w:r>
      <w:r>
        <w:rPr>
          <w:rStyle w:val="18"/>
          <w:color w:val="auto"/>
          <w:highlight w:val="none"/>
          <w:u w:val="none"/>
        </w:rPr>
        <w:t>Electromechanical Pipeline Deepening</w:t>
      </w:r>
      <w:r>
        <w:rPr>
          <w:color w:val="auto"/>
          <w:highlight w:val="none"/>
        </w:rPr>
        <w:tab/>
      </w:r>
      <w:r>
        <w:rPr>
          <w:color w:val="auto"/>
          <w:highlight w:val="none"/>
        </w:rPr>
        <w:fldChar w:fldCharType="begin"/>
      </w:r>
      <w:r>
        <w:rPr>
          <w:color w:val="auto"/>
          <w:highlight w:val="none"/>
        </w:rPr>
        <w:instrText xml:space="preserve"> PAGEREF _Toc22348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1AC9EAE">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"_Toc10913" </w:instrText>
      </w:r>
      <w:r>
        <w:rPr>
          <w:color w:val="auto"/>
          <w:highlight w:val="none"/>
        </w:rPr>
        <w:fldChar w:fldCharType="separate"/>
      </w:r>
      <w:r>
        <w:rPr>
          <w:rFonts w:hint="eastAsia" w:ascii="黑体" w:hAnsi="黑体" w:eastAsia="黑体"/>
          <w:color w:val="auto"/>
          <w:kern w:val="0"/>
          <w:highlight w:val="none"/>
        </w:rPr>
        <w:t xml:space="preserve">7.4 </w:t>
      </w:r>
      <w:r>
        <w:rPr>
          <w:rStyle w:val="18"/>
          <w:color w:val="auto"/>
          <w:highlight w:val="none"/>
          <w:u w:val="none"/>
        </w:rPr>
        <w:t>Decoration deepening</w:t>
      </w:r>
      <w:r>
        <w:rPr>
          <w:color w:val="auto"/>
          <w:highlight w:val="none"/>
        </w:rPr>
        <w:tab/>
      </w:r>
      <w:r>
        <w:rPr>
          <w:color w:val="auto"/>
          <w:highlight w:val="none"/>
        </w:rPr>
        <w:fldChar w:fldCharType="begin"/>
      </w:r>
      <w:r>
        <w:rPr>
          <w:color w:val="auto"/>
          <w:highlight w:val="none"/>
        </w:rPr>
        <w:instrText xml:space="preserve"> PAGEREF _Toc10913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6502904">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"_Toc28888" </w:instrText>
      </w:r>
      <w:r>
        <w:rPr>
          <w:color w:val="auto"/>
          <w:highlight w:val="none"/>
        </w:rPr>
        <w:fldChar w:fldCharType="separate"/>
      </w:r>
      <w:r>
        <w:rPr>
          <w:rFonts w:hint="eastAsia" w:ascii="黑体" w:hAnsi="黑体" w:eastAsia="黑体"/>
          <w:color w:val="auto"/>
          <w:kern w:val="0"/>
          <w:highlight w:val="none"/>
        </w:rPr>
        <w:t xml:space="preserve">7.5 </w:t>
      </w:r>
      <w:r>
        <w:rPr>
          <w:rFonts w:hint="eastAsia"/>
          <w:color w:val="auto"/>
          <w:highlight w:val="none"/>
        </w:rPr>
        <w:t>Equipment Selection</w:t>
      </w:r>
      <w:r>
        <w:rPr>
          <w:color w:val="auto"/>
          <w:highlight w:val="none"/>
        </w:rPr>
        <w:tab/>
      </w:r>
      <w:r>
        <w:rPr>
          <w:color w:val="auto"/>
          <w:highlight w:val="none"/>
        </w:rPr>
        <w:fldChar w:fldCharType="begin"/>
      </w:r>
      <w:r>
        <w:rPr>
          <w:color w:val="auto"/>
          <w:highlight w:val="none"/>
        </w:rPr>
        <w:instrText xml:space="preserve"> PAGEREF _Toc28888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r>
        <w:rPr>
          <w:rFonts w:hint="eastAsia"/>
          <w:color w:val="auto"/>
          <w:highlight w:val="none"/>
          <w:lang w:val="en-US" w:eastAsia="zh-CN"/>
        </w:rPr>
        <w:t>0</w:t>
      </w:r>
    </w:p>
    <w:p w14:paraId="6C4253F2">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"_Toc15040" </w:instrText>
      </w:r>
      <w:r>
        <w:rPr>
          <w:color w:val="auto"/>
          <w:highlight w:val="none"/>
        </w:rPr>
        <w:fldChar w:fldCharType="separate"/>
      </w:r>
      <w:r>
        <w:rPr>
          <w:rFonts w:hint="eastAsia" w:ascii="黑体" w:hAnsi="黑体" w:eastAsia="黑体"/>
          <w:color w:val="auto"/>
          <w:highlight w:val="none"/>
        </w:rPr>
        <w:t xml:space="preserve">8 </w:t>
      </w:r>
      <w:r>
        <w:rPr>
          <w:rStyle w:val="18"/>
          <w:b/>
          <w:color w:val="auto"/>
          <w:highlight w:val="none"/>
          <w:u w:val="none"/>
        </w:rPr>
        <w:t>Construction Preparation Stage</w:t>
      </w:r>
      <w:r>
        <w:rPr>
          <w:color w:val="auto"/>
          <w:highlight w:val="none"/>
        </w:rPr>
        <w:tab/>
      </w:r>
      <w:r>
        <w:rPr>
          <w:color w:val="auto"/>
          <w:highlight w:val="none"/>
        </w:rPr>
        <w:fldChar w:fldCharType="begin"/>
      </w:r>
      <w:r>
        <w:rPr>
          <w:color w:val="auto"/>
          <w:highlight w:val="none"/>
        </w:rPr>
        <w:instrText xml:space="preserve"> PAGEREF _Toc15040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79B4E6B">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"_Toc12234" </w:instrText>
      </w:r>
      <w:r>
        <w:rPr>
          <w:color w:val="auto"/>
          <w:highlight w:val="none"/>
        </w:rPr>
        <w:fldChar w:fldCharType="separate"/>
      </w:r>
      <w:r>
        <w:rPr>
          <w:rFonts w:hint="eastAsia" w:ascii="黑体" w:hAnsi="黑体" w:eastAsia="黑体"/>
          <w:color w:val="auto"/>
          <w:kern w:val="0"/>
          <w:highlight w:val="none"/>
        </w:rPr>
        <w:t xml:space="preserve">8.1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_Toc12234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C1C411B">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"_Toc7959" </w:instrText>
      </w:r>
      <w:r>
        <w:rPr>
          <w:color w:val="auto"/>
          <w:highlight w:val="none"/>
        </w:rPr>
        <w:fldChar w:fldCharType="separate"/>
      </w:r>
      <w:r>
        <w:rPr>
          <w:rFonts w:hint="eastAsia" w:ascii="黑体" w:hAnsi="黑体" w:eastAsia="黑体"/>
          <w:color w:val="auto"/>
          <w:kern w:val="0"/>
          <w:highlight w:val="none"/>
        </w:rPr>
        <w:t xml:space="preserve">8.2 </w:t>
      </w:r>
      <w:r>
        <w:rPr>
          <w:rStyle w:val="18"/>
          <w:color w:val="auto"/>
          <w:highlight w:val="none"/>
          <w:u w:val="none"/>
        </w:rPr>
        <w:t>Construction Site Planning</w:t>
      </w:r>
      <w:r>
        <w:rPr>
          <w:color w:val="auto"/>
          <w:highlight w:val="none"/>
        </w:rPr>
        <w:tab/>
      </w:r>
      <w:r>
        <w:rPr>
          <w:color w:val="auto"/>
          <w:highlight w:val="none"/>
        </w:rPr>
        <w:fldChar w:fldCharType="begin"/>
      </w:r>
      <w:r>
        <w:rPr>
          <w:color w:val="auto"/>
          <w:highlight w:val="none"/>
        </w:rPr>
        <w:instrText xml:space="preserve"> PAGEREF _Toc7959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2FA614E">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"_Toc20961" </w:instrText>
      </w:r>
      <w:r>
        <w:rPr>
          <w:color w:val="auto"/>
          <w:highlight w:val="none"/>
        </w:rPr>
        <w:fldChar w:fldCharType="separate"/>
      </w:r>
      <w:r>
        <w:rPr>
          <w:rFonts w:hint="eastAsia" w:ascii="黑体" w:hAnsi="黑体" w:eastAsia="黑体"/>
          <w:color w:val="auto"/>
          <w:kern w:val="0"/>
          <w:highlight w:val="none"/>
        </w:rPr>
        <w:t xml:space="preserve">8.3 </w:t>
      </w:r>
      <w:r>
        <w:rPr>
          <w:rStyle w:val="18"/>
          <w:color w:val="auto"/>
          <w:highlight w:val="none"/>
          <w:u w:val="none"/>
        </w:rPr>
        <w:t>Construction Plan Simulation</w:t>
      </w:r>
      <w:r>
        <w:rPr>
          <w:color w:val="auto"/>
          <w:highlight w:val="none"/>
        </w:rPr>
        <w:tab/>
      </w:r>
      <w:r>
        <w:rPr>
          <w:color w:val="auto"/>
          <w:highlight w:val="none"/>
        </w:rPr>
        <w:fldChar w:fldCharType="begin"/>
      </w:r>
      <w:r>
        <w:rPr>
          <w:color w:val="auto"/>
          <w:highlight w:val="none"/>
        </w:rPr>
        <w:instrText xml:space="preserve"> PAGEREF _Toc20961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A73C586">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"_Toc13215" </w:instrText>
      </w:r>
      <w:r>
        <w:rPr>
          <w:color w:val="auto"/>
          <w:highlight w:val="none"/>
        </w:rPr>
        <w:fldChar w:fldCharType="separate"/>
      </w:r>
      <w:r>
        <w:rPr>
          <w:rFonts w:hint="eastAsia" w:ascii="黑体" w:hAnsi="黑体" w:eastAsia="黑体"/>
          <w:color w:val="auto"/>
          <w:kern w:val="0"/>
          <w:highlight w:val="none"/>
        </w:rPr>
        <w:t xml:space="preserve">8.4 </w:t>
      </w:r>
      <w:r>
        <w:rPr>
          <w:rStyle w:val="18"/>
          <w:color w:val="auto"/>
          <w:highlight w:val="none"/>
          <w:u w:val="none"/>
        </w:rPr>
        <w:t>Emergency Plan Simulation</w:t>
      </w:r>
      <w:r>
        <w:rPr>
          <w:color w:val="auto"/>
          <w:highlight w:val="none"/>
        </w:rPr>
        <w:tab/>
      </w:r>
      <w:r>
        <w:rPr>
          <w:color w:val="auto"/>
          <w:highlight w:val="none"/>
        </w:rPr>
        <w:fldChar w:fldCharType="begin"/>
      </w:r>
      <w:r>
        <w:rPr>
          <w:color w:val="auto"/>
          <w:highlight w:val="none"/>
        </w:rPr>
        <w:instrText xml:space="preserve"> PAGEREF _Toc13215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66D9DDD">
      <w:pPr>
        <w:pStyle w:val="10"/>
        <w:tabs>
          <w:tab w:val="right" w:leader="dot" w:pos="9354"/>
          <w:tab w:val="clear" w:pos="126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"_Toc27522" </w:instrText>
      </w:r>
      <w:r>
        <w:rPr>
          <w:color w:val="auto"/>
          <w:highlight w:val="none"/>
        </w:rPr>
        <w:fldChar w:fldCharType="separate"/>
      </w:r>
      <w:r>
        <w:rPr>
          <w:rFonts w:hint="eastAsia" w:ascii="黑体" w:hAnsi="黑体" w:eastAsia="黑体"/>
          <w:color w:val="auto"/>
          <w:highlight w:val="none"/>
        </w:rPr>
        <w:t xml:space="preserve">9 </w:t>
      </w:r>
      <w:r>
        <w:rPr>
          <w:rStyle w:val="18"/>
          <w:b/>
          <w:color w:val="auto"/>
          <w:highlight w:val="none"/>
          <w:u w:val="none"/>
        </w:rPr>
        <w:t>Construction Implementation Phase</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664E0E9C">
      <w:pPr>
        <w:pStyle w:val="11"/>
        <w:tabs>
          <w:tab w:val="right" w:leader="dot" w:pos="9354"/>
          <w:tab w:val="clear" w:pos="147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"_Toc2613" </w:instrText>
      </w:r>
      <w:r>
        <w:rPr>
          <w:color w:val="auto"/>
          <w:highlight w:val="none"/>
        </w:rPr>
        <w:fldChar w:fldCharType="separate"/>
      </w:r>
      <w:r>
        <w:rPr>
          <w:rFonts w:hint="eastAsia" w:ascii="黑体" w:hAnsi="黑体" w:eastAsia="黑体"/>
          <w:color w:val="auto"/>
          <w:kern w:val="0"/>
          <w:highlight w:val="none"/>
        </w:rPr>
        <w:t xml:space="preserve">9.1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5B936317">
      <w:pPr>
        <w:pStyle w:val="11"/>
        <w:tabs>
          <w:tab w:val="right" w:leader="dot" w:pos="9354"/>
          <w:tab w:val="clear" w:pos="147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"_Toc503" </w:instrText>
      </w:r>
      <w:r>
        <w:rPr>
          <w:color w:val="auto"/>
          <w:highlight w:val="none"/>
        </w:rPr>
        <w:fldChar w:fldCharType="separate"/>
      </w:r>
      <w:r>
        <w:rPr>
          <w:rFonts w:hint="eastAsia" w:ascii="黑体" w:hAnsi="黑体" w:eastAsia="黑体"/>
          <w:color w:val="auto"/>
          <w:kern w:val="0"/>
          <w:highlight w:val="none"/>
        </w:rPr>
        <w:t xml:space="preserve">9.2 </w:t>
      </w:r>
      <w:r>
        <w:rPr>
          <w:rStyle w:val="18"/>
          <w:color w:val="auto"/>
          <w:highlight w:val="none"/>
          <w:u w:val="none"/>
        </w:rPr>
        <w:t>Progress Management</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404D6330">
      <w:pPr>
        <w:pStyle w:val="11"/>
        <w:tabs>
          <w:tab w:val="right" w:leader="dot" w:pos="9354"/>
          <w:tab w:val="clear" w:pos="1470"/>
          <w:tab w:val="clear" w:pos="8296"/>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"_Toc27220" </w:instrText>
      </w:r>
      <w:r>
        <w:rPr>
          <w:color w:val="auto"/>
          <w:highlight w:val="none"/>
        </w:rPr>
        <w:fldChar w:fldCharType="separate"/>
      </w:r>
      <w:r>
        <w:rPr>
          <w:rFonts w:hint="eastAsia" w:ascii="黑体" w:hAnsi="黑体" w:eastAsia="黑体"/>
          <w:color w:val="auto"/>
          <w:kern w:val="0"/>
          <w:highlight w:val="none"/>
        </w:rPr>
        <w:t xml:space="preserve">9.3 </w:t>
      </w:r>
      <w:r>
        <w:rPr>
          <w:rStyle w:val="18"/>
          <w:color w:val="auto"/>
          <w:highlight w:val="none"/>
          <w:u w:val="none"/>
        </w:rPr>
        <w:t>Quality Management</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73E30F9C">
      <w:pPr>
        <w:pStyle w:val="11"/>
        <w:tabs>
          <w:tab w:val="right" w:leader="dot" w:pos="9354"/>
          <w:tab w:val="clear" w:pos="147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黑体" w:hAnsi="黑体" w:eastAsia="黑体"/>
          <w:color w:val="auto"/>
          <w:kern w:val="0"/>
          <w:highlight w:val="none"/>
        </w:rPr>
        <w:t xml:space="preserve">9.4 </w:t>
      </w:r>
      <w:r>
        <w:rPr>
          <w:rStyle w:val="18"/>
          <w:color w:val="auto"/>
          <w:highlight w:val="none"/>
          <w:u w:val="none"/>
        </w:rPr>
        <w:t>Safety Management</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5</w:t>
      </w:r>
    </w:p>
    <w:p w14:paraId="68DAD871">
      <w:pPr>
        <w:pStyle w:val="11"/>
        <w:tabs>
          <w:tab w:val="right" w:leader="dot" w:pos="9354"/>
          <w:tab w:val="clear" w:pos="1470"/>
          <w:tab w:val="clear" w:pos="8296"/>
        </w:tabs>
        <w:rPr>
          <w:rFonts w:hint="eastAsia" w:asciiTheme="minorEastAsia" w:hAnsiTheme="minorEastAsia" w:eastAsiaTheme="minorEastAsia"/>
          <w:color w:val="auto"/>
          <w:szCs w:val="21"/>
          <w:highlight w:val="none"/>
          <w:lang w:eastAsia="zh-CN"/>
        </w:rPr>
      </w:pPr>
      <w:r>
        <w:rPr>
          <w:color w:val="auto"/>
          <w:highlight w:val="none"/>
        </w:rPr>
        <w:fldChar w:fldCharType="begin"/>
      </w:r>
      <w:r>
        <w:rPr>
          <w:color w:val="auto"/>
          <w:highlight w:val="none"/>
        </w:rPr>
        <w:instrText xml:space="preserve"> HYPERLINK \l "_Toc21421" </w:instrText>
      </w:r>
      <w:r>
        <w:rPr>
          <w:color w:val="auto"/>
          <w:highlight w:val="none"/>
        </w:rPr>
        <w:fldChar w:fldCharType="separate"/>
      </w:r>
      <w:r>
        <w:rPr>
          <w:rFonts w:hint="eastAsia" w:ascii="黑体" w:hAnsi="黑体" w:eastAsia="黑体"/>
          <w:color w:val="auto"/>
          <w:kern w:val="0"/>
          <w:highlight w:val="none"/>
        </w:rPr>
        <w:t xml:space="preserve">9.5 </w:t>
      </w:r>
      <w:r>
        <w:rPr>
          <w:rStyle w:val="18"/>
          <w:color w:val="auto"/>
          <w:highlight w:val="none"/>
          <w:u w:val="none"/>
        </w:rPr>
        <w:t>Cost Management</w:t>
      </w:r>
      <w:r>
        <w:rPr>
          <w:color w:val="auto"/>
          <w:highlight w:val="none"/>
        </w:rPr>
        <w:tab/>
      </w:r>
      <w:r>
        <w:rPr>
          <w:color w:val="auto"/>
          <w:highlight w:val="none"/>
        </w:rPr>
        <w:fldChar w:fldCharType="end"/>
      </w: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6</w:t>
      </w:r>
    </w:p>
    <w:p w14:paraId="3B3BD99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"_Toc21421" </w:instrText>
      </w:r>
      <w:r>
        <w:rPr>
          <w:color w:val="auto"/>
          <w:highlight w:val="none"/>
        </w:rPr>
        <w:fldChar w:fldCharType="separate"/>
      </w:r>
      <w:r>
        <w:rPr>
          <w:rFonts w:hint="default" w:ascii="黑体" w:hAnsi="黑体" w:eastAsia="黑体"/>
          <w:color w:val="auto"/>
          <w:kern w:val="0"/>
          <w:highlight w:val="none"/>
        </w:rPr>
        <w:t>9.</w:t>
      </w:r>
      <w:r>
        <w:rPr>
          <w:rFonts w:hint="eastAsia" w:ascii="黑体" w:hAnsi="黑体" w:eastAsia="黑体"/>
          <w:color w:val="auto"/>
          <w:kern w:val="0"/>
          <w:highlight w:val="none"/>
          <w:lang w:val="en-US" w:eastAsia="zh-CN"/>
        </w:rPr>
        <w:t>6</w:t>
      </w:r>
      <w:r>
        <w:rPr>
          <w:rFonts w:hint="default" w:ascii="宋体" w:hAnsi="宋体" w:eastAsia="宋体"/>
          <w:color w:val="auto"/>
          <w:kern w:val="2"/>
          <w:highlight w:val="none"/>
        </w:rPr>
        <w:t xml:space="preserve"> </w:t>
      </w:r>
      <w:r>
        <w:rPr>
          <w:rFonts w:ascii="宋体" w:hAnsi="宋体" w:eastAsia="宋体" w:cstheme="minorBidi"/>
          <w:color w:val="auto"/>
          <w:sz w:val="21"/>
          <w:szCs w:val="22"/>
          <w:highlight w:val="none"/>
        </w:rPr>
        <w:t>Completion and deliver</w:t>
      </w:r>
      <w:r>
        <w:rPr>
          <w:rFonts w:hint="eastAsia" w:cstheme="minorBidi"/>
          <w:color w:val="auto"/>
          <w:sz w:val="21"/>
          <w:szCs w:val="22"/>
          <w:highlight w:val="none"/>
          <w:lang w:val="en-US" w:eastAsia="zh-CN"/>
        </w:rPr>
        <w:t>y</w:t>
      </w:r>
      <w:r>
        <w:rPr>
          <w:color w:val="auto"/>
          <w:highlight w:val="none"/>
        </w:rPr>
        <w:tab/>
      </w:r>
      <w:r>
        <w:rPr>
          <w:color w:val="auto"/>
          <w:highlight w:val="none"/>
        </w:rPr>
        <w:fldChar w:fldCharType="end"/>
      </w:r>
      <w:r>
        <w:rPr>
          <w:rFonts w:hint="default" w:ascii="宋体" w:hAnsi="宋体" w:eastAsia="宋体"/>
          <w:color w:val="auto"/>
          <w:szCs w:val="22"/>
          <w:highlight w:val="none"/>
        </w:rPr>
        <w:t>2</w:t>
      </w:r>
      <w:r>
        <w:rPr>
          <w:rFonts w:hint="eastAsia"/>
          <w:color w:val="auto"/>
          <w:szCs w:val="22"/>
          <w:highlight w:val="none"/>
          <w:lang w:eastAsia="zh-CN"/>
        </w:rPr>
        <w:t>7</w:t>
      </w:r>
    </w:p>
    <w:p w14:paraId="462B6C8B">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"_Toc14788"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 xml:space="preserve"> </w:t>
      </w:r>
      <w:r>
        <w:rPr>
          <w:rStyle w:val="18"/>
          <w:rFonts w:eastAsia="黑体"/>
          <w:b/>
          <w:color w:val="auto"/>
          <w:highlight w:val="none"/>
          <w:u w:val="none"/>
        </w:rPr>
        <w:t>Operation Stage</w:t>
      </w:r>
      <w:r>
        <w:rPr>
          <w:color w:val="auto"/>
          <w:highlight w:val="none"/>
        </w:rPr>
        <w:tab/>
      </w:r>
      <w:r>
        <w:rPr>
          <w:color w:val="auto"/>
          <w:highlight w:val="none"/>
        </w:rPr>
        <w:fldChar w:fldCharType="begin"/>
      </w:r>
      <w:r>
        <w:rPr>
          <w:color w:val="auto"/>
          <w:highlight w:val="none"/>
        </w:rPr>
        <w:instrText xml:space="preserve"> PAGEREF _Toc14788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AEFEC70">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"_Toc787"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.1</w:t>
      </w:r>
      <w:r>
        <w:rPr>
          <w:rFonts w:hint="eastAsia" w:ascii="黑体" w:hAnsi="黑体" w:eastAsia="黑体"/>
          <w:color w:val="auto"/>
          <w:kern w:val="0"/>
          <w:highlight w:val="none"/>
        </w:rPr>
        <w:t xml:space="preserve">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_Toc787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14E334B">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"_Toc3734"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2</w:t>
      </w:r>
      <w:r>
        <w:rPr>
          <w:rFonts w:hint="eastAsia" w:ascii="黑体" w:hAnsi="黑体" w:eastAsia="黑体"/>
          <w:color w:val="auto"/>
          <w:kern w:val="0"/>
          <w:highlight w:val="none"/>
        </w:rPr>
        <w:t xml:space="preserve"> </w:t>
      </w:r>
      <w:r>
        <w:rPr>
          <w:rStyle w:val="18"/>
          <w:color w:val="auto"/>
          <w:szCs w:val="21"/>
          <w:highlight w:val="none"/>
          <w:u w:val="none"/>
        </w:rPr>
        <w:t>Asset Management</w:t>
      </w:r>
      <w:r>
        <w:rPr>
          <w:color w:val="auto"/>
          <w:highlight w:val="none"/>
        </w:rPr>
        <w:tab/>
      </w:r>
      <w:r>
        <w:rPr>
          <w:color w:val="auto"/>
          <w:highlight w:val="none"/>
        </w:rPr>
        <w:fldChar w:fldCharType="begin"/>
      </w:r>
      <w:r>
        <w:rPr>
          <w:color w:val="auto"/>
          <w:highlight w:val="none"/>
        </w:rPr>
        <w:instrText xml:space="preserve"> PAGEREF _Toc3734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0129D57">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"_Toc30827"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3</w:t>
      </w:r>
      <w:r>
        <w:rPr>
          <w:rFonts w:hint="eastAsia" w:ascii="黑体" w:hAnsi="黑体" w:eastAsia="黑体"/>
          <w:color w:val="auto"/>
          <w:kern w:val="0"/>
          <w:highlight w:val="none"/>
        </w:rPr>
        <w:t xml:space="preserve"> </w:t>
      </w:r>
      <w:r>
        <w:rPr>
          <w:rStyle w:val="18"/>
          <w:color w:val="auto"/>
          <w:highlight w:val="none"/>
          <w:u w:val="none"/>
        </w:rPr>
        <w:t>Equipment Integration And Monitoring</w:t>
      </w:r>
      <w:r>
        <w:rPr>
          <w:color w:val="auto"/>
          <w:highlight w:val="none"/>
        </w:rPr>
        <w:tab/>
      </w:r>
      <w:r>
        <w:rPr>
          <w:color w:val="auto"/>
          <w:highlight w:val="none"/>
        </w:rPr>
        <w:fldChar w:fldCharType="begin"/>
      </w:r>
      <w:r>
        <w:rPr>
          <w:color w:val="auto"/>
          <w:highlight w:val="none"/>
        </w:rPr>
        <w:instrText xml:space="preserve"> PAGEREF _Toc30827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52AC4F6">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"_Toc3523"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4</w:t>
      </w:r>
      <w:r>
        <w:rPr>
          <w:rFonts w:hint="eastAsia" w:ascii="黑体" w:hAnsi="黑体" w:eastAsia="黑体"/>
          <w:color w:val="auto"/>
          <w:kern w:val="0"/>
          <w:highlight w:val="none"/>
        </w:rPr>
        <w:t xml:space="preserve"> </w:t>
      </w:r>
      <w:r>
        <w:rPr>
          <w:rStyle w:val="18"/>
          <w:color w:val="auto"/>
          <w:szCs w:val="21"/>
          <w:highlight w:val="none"/>
          <w:u w:val="none"/>
        </w:rPr>
        <w:t>Emergency Management</w:t>
      </w:r>
      <w:r>
        <w:rPr>
          <w:color w:val="auto"/>
          <w:highlight w:val="none"/>
        </w:rPr>
        <w:tab/>
      </w:r>
      <w:r>
        <w:rPr>
          <w:color w:val="auto"/>
          <w:highlight w:val="none"/>
        </w:rPr>
        <w:fldChar w:fldCharType="begin"/>
      </w:r>
      <w:r>
        <w:rPr>
          <w:color w:val="auto"/>
          <w:highlight w:val="none"/>
        </w:rPr>
        <w:instrText xml:space="preserve"> PAGEREF _Toc3523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4D2C73D">
      <w:pPr>
        <w:pStyle w:val="11"/>
        <w:tabs>
          <w:tab w:val="right" w:leader="dot" w:pos="9354"/>
          <w:tab w:val="clear" w:pos="1470"/>
          <w:tab w:val="clear" w:pos="8296"/>
        </w:tabs>
        <w:rPr>
          <w:color w:val="auto"/>
          <w:highlight w:val="none"/>
        </w:rPr>
      </w:pPr>
      <w:r>
        <w:rPr>
          <w:color w:val="auto"/>
          <w:highlight w:val="none"/>
        </w:rPr>
        <w:fldChar w:fldCharType="begin"/>
      </w:r>
      <w:r>
        <w:rPr>
          <w:color w:val="auto"/>
          <w:highlight w:val="none"/>
        </w:rPr>
        <w:instrText xml:space="preserve"> HYPERLINK \l "_Toc11618"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5</w:t>
      </w:r>
      <w:r>
        <w:rPr>
          <w:rFonts w:hint="eastAsia" w:ascii="黑体" w:hAnsi="黑体" w:eastAsia="黑体"/>
          <w:color w:val="auto"/>
          <w:kern w:val="0"/>
          <w:highlight w:val="none"/>
        </w:rPr>
        <w:t xml:space="preserve"> </w:t>
      </w:r>
      <w:r>
        <w:rPr>
          <w:rFonts w:hint="eastAsia"/>
          <w:color w:val="auto"/>
          <w:highlight w:val="none"/>
        </w:rPr>
        <w:t>Maintenance management</w:t>
      </w:r>
      <w:r>
        <w:rPr>
          <w:color w:val="auto"/>
          <w:highlight w:val="none"/>
        </w:rPr>
        <w:tab/>
      </w:r>
      <w:r>
        <w:rPr>
          <w:color w:val="auto"/>
          <w:highlight w:val="none"/>
        </w:rPr>
        <w:fldChar w:fldCharType="begin"/>
      </w:r>
      <w:r>
        <w:rPr>
          <w:color w:val="auto"/>
          <w:highlight w:val="none"/>
        </w:rPr>
        <w:instrText xml:space="preserve"> PAGEREF _Toc11618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046EE75">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"_Toc11618"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eastAsia="zh-CN"/>
        </w:rPr>
        <w:t>0</w:t>
      </w:r>
      <w:r>
        <w:rPr>
          <w:rFonts w:hint="eastAsia" w:ascii="黑体" w:hAnsi="黑体" w:eastAsia="黑体"/>
          <w:color w:val="auto"/>
          <w:highlight w:val="none"/>
        </w:rPr>
        <w:t>.</w:t>
      </w:r>
      <w:r>
        <w:rPr>
          <w:rFonts w:hint="eastAsia" w:ascii="黑体" w:hAnsi="黑体" w:eastAsia="黑体"/>
          <w:color w:val="auto"/>
          <w:highlight w:val="none"/>
          <w:lang w:val="en-US" w:eastAsia="zh-CN"/>
        </w:rPr>
        <w:t>6</w:t>
      </w:r>
      <w:r>
        <w:rPr>
          <w:rFonts w:hint="eastAsia" w:ascii="黑体" w:hAnsi="黑体" w:eastAsia="黑体"/>
          <w:color w:val="auto"/>
          <w:kern w:val="0"/>
          <w:highlight w:val="none"/>
        </w:rPr>
        <w:t xml:space="preserve"> </w:t>
      </w:r>
      <w:r>
        <w:rPr>
          <w:rFonts w:hint="eastAsia" w:ascii="宋体" w:hAnsi="宋体" w:eastAsia="宋体" w:cstheme="minorBidi"/>
          <w:color w:val="auto"/>
          <w:sz w:val="21"/>
          <w:szCs w:val="22"/>
          <w:highlight w:val="none"/>
        </w:rPr>
        <w:t>Peace-to-war transitions</w:t>
      </w:r>
      <w:r>
        <w:rPr>
          <w:color w:val="auto"/>
          <w:highlight w:val="none"/>
        </w:rPr>
        <w:tab/>
      </w:r>
      <w:r>
        <w:rPr>
          <w:color w:val="auto"/>
          <w:highlight w:val="none"/>
        </w:rPr>
        <w:fldChar w:fldCharType="begin"/>
      </w:r>
      <w:r>
        <w:rPr>
          <w:color w:val="auto"/>
          <w:highlight w:val="none"/>
        </w:rPr>
        <w:instrText xml:space="preserve"> PAGEREF _Toc11618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5326001">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"_Toc26368" </w:instrText>
      </w:r>
      <w:r>
        <w:rPr>
          <w:color w:val="auto"/>
          <w:highlight w:val="none"/>
        </w:rPr>
        <w:fldChar w:fldCharType="separate"/>
      </w:r>
      <w:r>
        <w:rPr>
          <w:rFonts w:hint="eastAsia" w:ascii="黑体" w:hAnsi="黑体" w:eastAsia="黑体" w:cs="黑体"/>
          <w:b/>
          <w:color w:val="auto"/>
          <w:kern w:val="44"/>
          <w:szCs w:val="32"/>
          <w:highlight w:val="none"/>
        </w:rPr>
        <w:t xml:space="preserve">Appendix A </w:t>
      </w:r>
      <w:r>
        <w:rPr>
          <w:rFonts w:hint="eastAsia"/>
          <w:color w:val="auto"/>
          <w:highlight w:val="none"/>
        </w:rPr>
        <w:t xml:space="preserve">Demands of </w:t>
      </w:r>
      <w:r>
        <w:rPr>
          <w:color w:val="auto"/>
          <w:highlight w:val="none"/>
        </w:rPr>
        <w:t>Application Areas</w:t>
      </w:r>
      <w:r>
        <w:rPr>
          <w:rFonts w:hint="eastAsia"/>
          <w:color w:val="auto"/>
          <w:highlight w:val="none"/>
        </w:rPr>
        <w:t xml:space="preserve"> And Category at </w:t>
      </w:r>
      <w:r>
        <w:rPr>
          <w:color w:val="auto"/>
          <w:highlight w:val="none"/>
        </w:rPr>
        <w:t>E</w:t>
      </w:r>
      <w:r>
        <w:rPr>
          <w:rFonts w:hint="eastAsia"/>
          <w:color w:val="auto"/>
          <w:highlight w:val="none"/>
        </w:rPr>
        <w:t>ach Stage</w:t>
      </w:r>
      <w:r>
        <w:rPr>
          <w:color w:val="auto"/>
          <w:highlight w:val="none"/>
        </w:rPr>
        <w:tab/>
      </w:r>
      <w:r>
        <w:rPr>
          <w:color w:val="auto"/>
          <w:highlight w:val="none"/>
        </w:rPr>
        <w:fldChar w:fldCharType="begin"/>
      </w:r>
      <w:r>
        <w:rPr>
          <w:color w:val="auto"/>
          <w:highlight w:val="none"/>
        </w:rPr>
        <w:instrText xml:space="preserve"> PAGEREF _Toc26368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99CEF7">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"_Toc2660" </w:instrText>
      </w:r>
      <w:r>
        <w:rPr>
          <w:color w:val="auto"/>
          <w:highlight w:val="none"/>
        </w:rPr>
        <w:fldChar w:fldCharType="separate"/>
      </w:r>
      <w:r>
        <w:rPr>
          <w:rFonts w:hint="eastAsia" w:ascii="黑体" w:hAnsi="黑体" w:eastAsia="黑体" w:cs="黑体"/>
          <w:b/>
          <w:color w:val="auto"/>
          <w:kern w:val="44"/>
          <w:szCs w:val="32"/>
          <w:highlight w:val="none"/>
        </w:rPr>
        <w:t xml:space="preserve">Appendix B </w:t>
      </w:r>
      <w:r>
        <w:rPr>
          <w:color w:val="auto"/>
          <w:highlight w:val="none"/>
        </w:rPr>
        <w:t xml:space="preserve">BIM Application Requirements </w:t>
      </w:r>
      <w:r>
        <w:rPr>
          <w:rFonts w:hint="eastAsia"/>
          <w:color w:val="auto"/>
          <w:highlight w:val="none"/>
        </w:rPr>
        <w:t>at each Stage</w:t>
      </w:r>
      <w:r>
        <w:rPr>
          <w:color w:val="auto"/>
          <w:highlight w:val="none"/>
        </w:rPr>
        <w:tab/>
      </w:r>
      <w:r>
        <w:rPr>
          <w:color w:val="auto"/>
          <w:highlight w:val="none"/>
        </w:rPr>
        <w:fldChar w:fldCharType="begin"/>
      </w:r>
      <w:r>
        <w:rPr>
          <w:color w:val="auto"/>
          <w:highlight w:val="none"/>
        </w:rPr>
        <w:instrText xml:space="preserve"> PAGEREF _Toc2660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FA5DA4E">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"_Toc8809" </w:instrText>
      </w:r>
      <w:r>
        <w:rPr>
          <w:color w:val="auto"/>
          <w:highlight w:val="none"/>
        </w:rPr>
        <w:fldChar w:fldCharType="separate"/>
      </w:r>
      <w:r>
        <w:rPr>
          <w:rFonts w:hint="eastAsia"/>
          <w:b/>
          <w:color w:val="auto"/>
          <w:highlight w:val="none"/>
        </w:rPr>
        <w:t>Explanation of Wording in This Standard</w:t>
      </w:r>
      <w:r>
        <w:rPr>
          <w:color w:val="auto"/>
          <w:highlight w:val="none"/>
        </w:rPr>
        <w:tab/>
      </w:r>
      <w:r>
        <w:rPr>
          <w:color w:val="auto"/>
          <w:highlight w:val="none"/>
        </w:rPr>
        <w:fldChar w:fldCharType="begin"/>
      </w:r>
      <w:r>
        <w:rPr>
          <w:color w:val="auto"/>
          <w:highlight w:val="none"/>
        </w:rPr>
        <w:instrText xml:space="preserve"> PAGEREF _Toc8809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8B4D6D9">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"_Toc15099" </w:instrText>
      </w:r>
      <w:r>
        <w:rPr>
          <w:color w:val="auto"/>
          <w:highlight w:val="none"/>
        </w:rPr>
        <w:fldChar w:fldCharType="separate"/>
      </w:r>
      <w:r>
        <w:rPr>
          <w:rFonts w:hint="eastAsia"/>
          <w:b/>
          <w:color w:val="auto"/>
          <w:highlight w:val="none"/>
        </w:rPr>
        <w:t xml:space="preserve">List of </w:t>
      </w:r>
      <w:r>
        <w:rPr>
          <w:b/>
          <w:color w:val="auto"/>
          <w:highlight w:val="none"/>
        </w:rPr>
        <w:t>Quoted</w:t>
      </w:r>
      <w:r>
        <w:rPr>
          <w:rFonts w:hint="eastAsia"/>
          <w:b/>
          <w:color w:val="auto"/>
          <w:highlight w:val="none"/>
        </w:rPr>
        <w:t xml:space="preserve"> Standards</w:t>
      </w:r>
      <w:r>
        <w:rPr>
          <w:color w:val="auto"/>
          <w:highlight w:val="none"/>
        </w:rPr>
        <w:tab/>
      </w:r>
      <w:r>
        <w:rPr>
          <w:color w:val="auto"/>
          <w:highlight w:val="none"/>
        </w:rPr>
        <w:fldChar w:fldCharType="begin"/>
      </w:r>
      <w:r>
        <w:rPr>
          <w:color w:val="auto"/>
          <w:highlight w:val="none"/>
        </w:rPr>
        <w:instrText xml:space="preserve"> PAGEREF _Toc15099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CA32E0E">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"_Toc22997" </w:instrText>
      </w:r>
      <w:r>
        <w:rPr>
          <w:color w:val="auto"/>
          <w:highlight w:val="none"/>
        </w:rPr>
        <w:fldChar w:fldCharType="separate"/>
      </w:r>
      <w:r>
        <w:rPr>
          <w:rFonts w:hint="eastAsia"/>
          <w:b/>
          <w:color w:val="auto"/>
          <w:highlight w:val="none"/>
        </w:rPr>
        <w:t>Addition :Explanation of Provisions</w:t>
      </w:r>
      <w:r>
        <w:rPr>
          <w:color w:val="auto"/>
          <w:highlight w:val="none"/>
        </w:rPr>
        <w:tab/>
      </w:r>
      <w:r>
        <w:rPr>
          <w:color w:val="auto"/>
          <w:highlight w:val="none"/>
        </w:rPr>
        <w:fldChar w:fldCharType="begin"/>
      </w:r>
      <w:r>
        <w:rPr>
          <w:color w:val="auto"/>
          <w:highlight w:val="none"/>
        </w:rPr>
        <w:instrText xml:space="preserve"> PAGEREF _Toc22997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0E93B8D">
      <w:pPr>
        <w:pStyle w:val="5"/>
        <w:rPr>
          <w:rFonts w:hint="eastAsia"/>
          <w:color w:val="auto"/>
          <w:highlight w:val="none"/>
        </w:rPr>
      </w:pPr>
      <w:bookmarkStart w:id="2" w:name="_Toc3509"/>
      <w:r>
        <w:rPr>
          <w:rFonts w:asciiTheme="minorEastAsia" w:hAnsiTheme="minorEastAsia"/>
          <w:color w:val="auto"/>
          <w:szCs w:val="21"/>
          <w:highlight w:val="none"/>
        </w:rPr>
        <w:fldChar w:fldCharType="end"/>
      </w:r>
      <w:bookmarkEnd w:id="2"/>
    </w:p>
    <w:p w14:paraId="31AC60B2">
      <w:pPr>
        <w:pStyle w:val="2"/>
        <w:rPr>
          <w:rFonts w:hint="eastAsia"/>
          <w:color w:val="auto"/>
          <w:highlight w:val="none"/>
        </w:rPr>
      </w:pPr>
      <w:r>
        <w:rPr>
          <w:rFonts w:hint="eastAsia"/>
          <w:color w:val="auto"/>
          <w:highlight w:val="none"/>
        </w:rPr>
        <w:t>　</w:t>
      </w:r>
      <w:r>
        <w:rPr>
          <w:rFonts w:hint="eastAsia"/>
          <w:color w:val="auto"/>
          <w:highlight w:val="none"/>
          <w:lang w:val="en-US" w:eastAsia="zh-CN"/>
        </w:rPr>
        <w:t>总</w:t>
      </w:r>
      <w:r>
        <w:rPr>
          <w:rFonts w:hint="eastAsia"/>
          <w:color w:val="auto"/>
          <w:highlight w:val="none"/>
        </w:rPr>
        <w:t>　</w:t>
      </w:r>
      <w:r>
        <w:rPr>
          <w:rFonts w:hint="eastAsia"/>
          <w:color w:val="auto"/>
          <w:highlight w:val="none"/>
          <w:lang w:val="en-US" w:eastAsia="zh-CN"/>
        </w:rPr>
        <w:t>则</w:t>
      </w:r>
    </w:p>
    <w:p w14:paraId="2E35028E">
      <w:pPr>
        <w:pStyle w:val="4"/>
        <w:numPr>
          <w:ilvl w:val="2"/>
          <w:numId w:val="2"/>
        </w:numPr>
        <w:rPr>
          <w:rFonts w:hint="eastAsia"/>
          <w:color w:val="auto"/>
          <w:highlight w:val="none"/>
        </w:rPr>
      </w:pPr>
      <w:r>
        <w:rPr>
          <w:rFonts w:hint="eastAsia"/>
          <w:color w:val="auto"/>
          <w:highlight w:val="none"/>
        </w:rPr>
        <w:t>　为贯彻执行国家技术经济政策，推动山西省市政地下空间建筑信息模型全生命期应用，提升信息利用效率，提高市政地下空间工程项目建设及运营维护信息化水平，制定本标准。</w:t>
      </w:r>
    </w:p>
    <w:p w14:paraId="42AFDA14">
      <w:pPr>
        <w:pStyle w:val="4"/>
        <w:numPr>
          <w:ilvl w:val="2"/>
          <w:numId w:val="2"/>
        </w:numPr>
        <w:rPr>
          <w:rFonts w:hint="eastAsia"/>
          <w:color w:val="auto"/>
          <w:highlight w:val="none"/>
        </w:rPr>
      </w:pPr>
      <w:r>
        <w:rPr>
          <w:rFonts w:hint="eastAsia"/>
          <w:color w:val="auto"/>
          <w:highlight w:val="none"/>
        </w:rPr>
        <w:t>　本标准适用于山西省内新建、扩建、改建和更新的城市道路隧道、地下人行通道、市政工程范围内的地下综合体（不含</w:t>
      </w:r>
      <w:r>
        <w:rPr>
          <w:rFonts w:hint="eastAsia"/>
          <w:color w:val="auto"/>
          <w:highlight w:val="none"/>
          <w:lang w:val="en-US" w:eastAsia="zh-CN"/>
        </w:rPr>
        <w:t>城市</w:t>
      </w:r>
      <w:r>
        <w:rPr>
          <w:rFonts w:hint="eastAsia"/>
          <w:color w:val="auto"/>
          <w:highlight w:val="none"/>
        </w:rPr>
        <w:t>轨道交通）、综合管廊</w:t>
      </w:r>
      <w:r>
        <w:rPr>
          <w:rFonts w:hint="eastAsia"/>
          <w:color w:val="auto"/>
          <w:highlight w:val="none"/>
          <w:lang w:eastAsia="zh-CN"/>
        </w:rPr>
        <w:t>、</w:t>
      </w:r>
      <w:r>
        <w:rPr>
          <w:rFonts w:hint="eastAsia"/>
          <w:color w:val="auto"/>
          <w:highlight w:val="none"/>
          <w:lang w:val="en-US" w:eastAsia="zh-CN"/>
        </w:rPr>
        <w:t>城市工程管线</w:t>
      </w:r>
      <w:r>
        <w:rPr>
          <w:rFonts w:hint="eastAsia"/>
          <w:color w:val="auto"/>
          <w:highlight w:val="none"/>
        </w:rPr>
        <w:t>等市政地下空间全生命期建筑信息模型的创建、使用及管理。</w:t>
      </w:r>
    </w:p>
    <w:p w14:paraId="6F4DF898">
      <w:pPr>
        <w:pStyle w:val="4"/>
        <w:keepNext w:val="0"/>
        <w:keepLines w:val="0"/>
        <w:numPr>
          <w:ilvl w:val="2"/>
          <w:numId w:val="2"/>
        </w:numPr>
        <w:rPr>
          <w:rFonts w:hint="eastAsia"/>
          <w:color w:val="auto"/>
          <w:highlight w:val="none"/>
        </w:rPr>
      </w:pPr>
      <w:r>
        <w:rPr>
          <w:rFonts w:hint="eastAsia"/>
          <w:color w:val="auto"/>
          <w:highlight w:val="none"/>
        </w:rPr>
        <w:t>　市政地下空间工程</w:t>
      </w:r>
      <w:r>
        <w:rPr>
          <w:rFonts w:hint="eastAsia"/>
          <w:color w:val="auto"/>
          <w:szCs w:val="21"/>
          <w:highlight w:val="none"/>
        </w:rPr>
        <w:t>全生命期建筑信息模型的应用</w:t>
      </w:r>
      <w:r>
        <w:rPr>
          <w:rFonts w:hint="eastAsia"/>
          <w:color w:val="auto"/>
          <w:highlight w:val="none"/>
        </w:rPr>
        <w:t>除应符合本标准外，尚应符合国家、行业及山西省现行有关标准的规定。</w:t>
      </w:r>
    </w:p>
    <w:p w14:paraId="1D46DC6D">
      <w:pPr>
        <w:ind w:firstLine="420"/>
        <w:rPr>
          <w:color w:val="auto"/>
          <w:highlight w:val="none"/>
        </w:rPr>
      </w:pPr>
    </w:p>
    <w:p w14:paraId="42830928">
      <w:pPr>
        <w:spacing w:line="240" w:lineRule="auto"/>
        <w:ind w:firstLine="0" w:firstLineChars="0"/>
        <w:jc w:val="left"/>
        <w:rPr>
          <w:rFonts w:hint="eastAsia" w:ascii="宋体" w:hAnsi="宋体" w:eastAsia="宋体" w:cs="宋体"/>
          <w:bCs/>
          <w:color w:val="auto"/>
          <w:kern w:val="0"/>
          <w:szCs w:val="21"/>
          <w:highlight w:val="none"/>
        </w:rPr>
      </w:pPr>
      <w:r>
        <w:rPr>
          <w:rFonts w:hint="eastAsia" w:ascii="宋体" w:hAnsi="宋体" w:cs="宋体"/>
          <w:color w:val="auto"/>
          <w:kern w:val="0"/>
          <w:szCs w:val="21"/>
          <w:highlight w:val="none"/>
        </w:rPr>
        <w:br w:type="page"/>
      </w:r>
    </w:p>
    <w:p w14:paraId="380308EA">
      <w:pPr>
        <w:pStyle w:val="2"/>
        <w:keepNext w:val="0"/>
        <w:keepLines w:val="0"/>
        <w:pageBreakBefore w:val="0"/>
        <w:ind w:left="0"/>
        <w:rPr>
          <w:rFonts w:hint="eastAsia"/>
          <w:color w:val="auto"/>
          <w:highlight w:val="none"/>
        </w:rPr>
      </w:pPr>
      <w:bookmarkStart w:id="3" w:name="_Ref18657523"/>
      <w:bookmarkStart w:id="4" w:name="_Ref18763157"/>
      <w:r>
        <w:rPr>
          <w:rFonts w:hint="eastAsia"/>
          <w:color w:val="auto"/>
          <w:highlight w:val="none"/>
        </w:rPr>
        <w:t>　</w:t>
      </w:r>
      <w:bookmarkStart w:id="5" w:name="_Toc22818"/>
      <w:bookmarkStart w:id="6" w:name="_Toc2275"/>
      <w:bookmarkStart w:id="7" w:name="_Toc7117"/>
      <w:bookmarkStart w:id="8" w:name="_Toc21780"/>
      <w:bookmarkStart w:id="9" w:name="_Toc21021"/>
      <w:bookmarkStart w:id="10" w:name="_Toc620"/>
      <w:bookmarkStart w:id="11" w:name="_Ref20408202"/>
      <w:bookmarkStart w:id="12" w:name="_Toc7767"/>
      <w:bookmarkStart w:id="13" w:name="_Toc37349469"/>
      <w:bookmarkStart w:id="14" w:name="_Toc5696"/>
      <w:bookmarkStart w:id="15" w:name="_Toc10368"/>
      <w:r>
        <w:rPr>
          <w:rFonts w:hint="eastAsia"/>
          <w:color w:val="auto"/>
          <w:highlight w:val="none"/>
        </w:rPr>
        <w:t>术　语</w:t>
      </w:r>
      <w:bookmarkEnd w:id="3"/>
      <w:bookmarkEnd w:id="4"/>
      <w:bookmarkEnd w:id="5"/>
      <w:bookmarkEnd w:id="6"/>
      <w:bookmarkEnd w:id="7"/>
      <w:bookmarkEnd w:id="8"/>
      <w:bookmarkEnd w:id="9"/>
      <w:bookmarkEnd w:id="10"/>
      <w:bookmarkEnd w:id="11"/>
      <w:bookmarkEnd w:id="12"/>
      <w:bookmarkEnd w:id="13"/>
      <w:bookmarkEnd w:id="14"/>
      <w:bookmarkEnd w:id="15"/>
    </w:p>
    <w:p w14:paraId="6779DA7D">
      <w:pPr>
        <w:pStyle w:val="4"/>
        <w:numPr>
          <w:ilvl w:val="2"/>
          <w:numId w:val="3"/>
        </w:numPr>
        <w:rPr>
          <w:rFonts w:hint="eastAsia"/>
          <w:color w:val="auto"/>
          <w:highlight w:val="none"/>
        </w:rPr>
      </w:pPr>
      <w:r>
        <w:rPr>
          <w:rFonts w:hint="eastAsia"/>
          <w:color w:val="auto"/>
          <w:highlight w:val="none"/>
        </w:rPr>
        <w:t>　市政地下空间工程　municipal underground space engineering</w:t>
      </w:r>
    </w:p>
    <w:p w14:paraId="48BFD350">
      <w:pPr>
        <w:ind w:firstLine="420"/>
        <w:contextualSpacing/>
        <w:rPr>
          <w:bCs/>
          <w:color w:val="auto"/>
          <w:szCs w:val="32"/>
          <w:highlight w:val="none"/>
        </w:rPr>
      </w:pPr>
      <w:r>
        <w:rPr>
          <w:rFonts w:hint="eastAsia"/>
          <w:bCs/>
          <w:color w:val="auto"/>
          <w:szCs w:val="32"/>
          <w:highlight w:val="none"/>
        </w:rPr>
        <w:t>市政地下空间工程是在城市地面以下土层或岩体中修建的城市基础设施的统称，包括城市地下的给排水系统、地下综合管廊、地下交通设施（如地下人行通道、地下停车场等）、地下市政能源设施（如热力管道、燃气管道等）、地下人防建筑等，其主要目的是保障城市的基本运转功能，提供市政服务。</w:t>
      </w:r>
    </w:p>
    <w:p w14:paraId="6254907F">
      <w:pPr>
        <w:pStyle w:val="4"/>
        <w:numPr>
          <w:ilvl w:val="2"/>
          <w:numId w:val="3"/>
        </w:numPr>
        <w:rPr>
          <w:rFonts w:hint="eastAsia"/>
          <w:color w:val="auto"/>
          <w:highlight w:val="none"/>
        </w:rPr>
      </w:pPr>
      <w:r>
        <w:rPr>
          <w:rFonts w:hint="eastAsia"/>
          <w:color w:val="auto"/>
          <w:highlight w:val="none"/>
        </w:rPr>
        <w:t>　建筑信息模型　building information modeling, building information model（BIM）</w:t>
      </w:r>
    </w:p>
    <w:p w14:paraId="6138435B">
      <w:pPr>
        <w:ind w:firstLine="420"/>
        <w:contextualSpacing/>
        <w:rPr>
          <w:bCs/>
          <w:color w:val="auto"/>
          <w:szCs w:val="32"/>
          <w:highlight w:val="none"/>
        </w:rPr>
      </w:pPr>
      <w:r>
        <w:rPr>
          <w:rFonts w:hint="eastAsia"/>
          <w:bCs/>
          <w:color w:val="auto"/>
          <w:szCs w:val="32"/>
          <w:highlight w:val="none"/>
        </w:rPr>
        <w:t>在建筑工程及设施全生命期内，对其物理和功能特性进行数字化表达，并依此设计、施工、运营的过程和结果的总称。本标准简称</w:t>
      </w:r>
      <w:r>
        <w:rPr>
          <w:bCs/>
          <w:color w:val="auto"/>
          <w:szCs w:val="32"/>
          <w:highlight w:val="none"/>
        </w:rPr>
        <w:t>模型</w:t>
      </w:r>
      <w:r>
        <w:rPr>
          <w:rFonts w:hint="eastAsia"/>
          <w:bCs/>
          <w:color w:val="auto"/>
          <w:szCs w:val="32"/>
          <w:highlight w:val="none"/>
        </w:rPr>
        <w:t>。</w:t>
      </w:r>
    </w:p>
    <w:p w14:paraId="467CF77D">
      <w:pPr>
        <w:pStyle w:val="4"/>
        <w:numPr>
          <w:ilvl w:val="2"/>
          <w:numId w:val="3"/>
        </w:numPr>
        <w:rPr>
          <w:rFonts w:hint="eastAsia"/>
          <w:color w:val="auto"/>
          <w:highlight w:val="none"/>
        </w:rPr>
      </w:pPr>
      <w:r>
        <w:rPr>
          <w:rFonts w:hint="eastAsia"/>
          <w:color w:val="auto"/>
          <w:highlight w:val="none"/>
        </w:rPr>
        <w:t xml:space="preserve">　模型单元　model unit </w:t>
      </w:r>
    </w:p>
    <w:p w14:paraId="432F52CC">
      <w:pPr>
        <w:ind w:firstLine="420"/>
        <w:contextualSpacing/>
        <w:rPr>
          <w:color w:val="auto"/>
          <w:highlight w:val="none"/>
        </w:rPr>
      </w:pPr>
      <w:r>
        <w:rPr>
          <w:rFonts w:hint="eastAsia"/>
          <w:color w:val="auto"/>
          <w:highlight w:val="none"/>
        </w:rPr>
        <w:t>模型中承载建筑信息的实体及其相关属性的集合，是工程对象的数字化表述。</w:t>
      </w:r>
    </w:p>
    <w:p w14:paraId="09883487">
      <w:pPr>
        <w:pStyle w:val="4"/>
        <w:numPr>
          <w:ilvl w:val="2"/>
          <w:numId w:val="3"/>
        </w:numPr>
        <w:rPr>
          <w:rFonts w:hint="eastAsia"/>
          <w:color w:val="auto"/>
          <w:highlight w:val="none"/>
        </w:rPr>
      </w:pPr>
      <w:r>
        <w:rPr>
          <w:rFonts w:hint="eastAsia"/>
          <w:color w:val="auto"/>
          <w:highlight w:val="none"/>
        </w:rPr>
        <w:t xml:space="preserve">　建筑信息模型软件　BIM </w:t>
      </w:r>
      <w:r>
        <w:rPr>
          <w:rFonts w:hint="eastAsia"/>
          <w:color w:val="auto"/>
          <w:highlight w:val="none"/>
          <w:lang w:val="en-AU"/>
        </w:rPr>
        <w:t>software</w:t>
      </w:r>
    </w:p>
    <w:p w14:paraId="4953DF68">
      <w:pPr>
        <w:ind w:firstLine="420"/>
        <w:rPr>
          <w:color w:val="auto"/>
          <w:highlight w:val="none"/>
        </w:rPr>
      </w:pPr>
      <w:r>
        <w:rPr>
          <w:rFonts w:hint="eastAsia"/>
          <w:color w:val="auto"/>
          <w:highlight w:val="none"/>
        </w:rPr>
        <w:t>对模型进行创建、使用、管理的软件。简称模型应用软件。</w:t>
      </w:r>
    </w:p>
    <w:p w14:paraId="31AE73BF">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模型精细度　level of model definition</w:t>
      </w:r>
    </w:p>
    <w:p w14:paraId="0C9B2D7F">
      <w:pPr>
        <w:ind w:firstLine="420"/>
        <w:rPr>
          <w:color w:val="auto"/>
          <w:highlight w:val="none"/>
        </w:rPr>
      </w:pPr>
      <w:r>
        <w:rPr>
          <w:rFonts w:hint="eastAsia"/>
          <w:color w:val="auto"/>
          <w:highlight w:val="none"/>
        </w:rPr>
        <w:t>模型中所容纳的模型单元</w:t>
      </w:r>
      <w:r>
        <w:rPr>
          <w:color w:val="auto"/>
          <w:highlight w:val="none"/>
        </w:rPr>
        <w:t>丰富</w:t>
      </w:r>
      <w:r>
        <w:rPr>
          <w:rFonts w:hint="eastAsia"/>
          <w:color w:val="auto"/>
          <w:highlight w:val="none"/>
        </w:rPr>
        <w:t>程度的衡量指标。</w:t>
      </w:r>
    </w:p>
    <w:p w14:paraId="382D2313">
      <w:pPr>
        <w:pStyle w:val="4"/>
        <w:numPr>
          <w:ilvl w:val="2"/>
          <w:numId w:val="3"/>
        </w:numPr>
        <w:rPr>
          <w:rFonts w:hint="eastAsia"/>
          <w:color w:val="auto"/>
          <w:highlight w:val="none"/>
        </w:rPr>
      </w:pPr>
      <w:r>
        <w:rPr>
          <w:rFonts w:hint="eastAsia"/>
          <w:color w:val="auto"/>
          <w:highlight w:val="none"/>
        </w:rPr>
        <w:t>　信息深度　</w:t>
      </w:r>
      <w:r>
        <w:rPr>
          <w:color w:val="auto"/>
          <w:highlight w:val="none"/>
        </w:rPr>
        <w:t>level of information detail</w:t>
      </w:r>
    </w:p>
    <w:p w14:paraId="36A763BF">
      <w:pPr>
        <w:ind w:firstLine="420"/>
        <w:rPr>
          <w:color w:val="auto"/>
          <w:highlight w:val="none"/>
        </w:rPr>
      </w:pPr>
      <w:r>
        <w:rPr>
          <w:rFonts w:hint="eastAsia"/>
          <w:color w:val="auto"/>
          <w:highlight w:val="none"/>
        </w:rPr>
        <w:t>模型单元承载属性信息详细程度的衡量指标。</w:t>
      </w:r>
    </w:p>
    <w:p w14:paraId="4EAA7A0A">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BIM 协同平台　BIM collaboration platform</w:t>
      </w:r>
    </w:p>
    <w:p w14:paraId="7D18C1CC">
      <w:pPr>
        <w:ind w:firstLine="420"/>
        <w:rPr>
          <w:color w:val="auto"/>
          <w:highlight w:val="none"/>
        </w:rPr>
      </w:pPr>
      <w:r>
        <w:rPr>
          <w:rFonts w:hint="eastAsia"/>
          <w:color w:val="auto"/>
          <w:highlight w:val="none"/>
        </w:rPr>
        <w:t>支持模型及数据共享、协同工作的平台系统及硬件环境。</w:t>
      </w:r>
    </w:p>
    <w:p w14:paraId="39CFAC17">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交付　deliver</w:t>
      </w:r>
    </w:p>
    <w:p w14:paraId="6F09C74B">
      <w:pPr>
        <w:ind w:firstLine="420"/>
        <w:rPr>
          <w:color w:val="auto"/>
          <w:highlight w:val="none"/>
        </w:rPr>
      </w:pPr>
      <w:r>
        <w:rPr>
          <w:rFonts w:hint="eastAsia"/>
          <w:color w:val="auto"/>
          <w:highlight w:val="none"/>
        </w:rPr>
        <w:t>根据工程项目的应用需求，将模型和相关应用成果传递给需求方的行为。</w:t>
      </w:r>
    </w:p>
    <w:p w14:paraId="652F7963">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交付物　deliverable</w:t>
      </w:r>
    </w:p>
    <w:p w14:paraId="6950AF97">
      <w:pPr>
        <w:ind w:firstLine="420"/>
        <w:rPr>
          <w:color w:val="auto"/>
          <w:highlight w:val="none"/>
        </w:rPr>
      </w:pPr>
      <w:r>
        <w:rPr>
          <w:rFonts w:hint="eastAsia"/>
          <w:color w:val="auto"/>
          <w:highlight w:val="none"/>
        </w:rPr>
        <w:t>在模型的应用中，工程各参与单位根据工程应用需求和工作流程所产生的经过审核或批准的成果。</w:t>
      </w:r>
    </w:p>
    <w:p w14:paraId="576D31E2">
      <w:pPr>
        <w:ind w:firstLine="420"/>
        <w:rPr>
          <w:color w:val="auto"/>
          <w:highlight w:val="none"/>
        </w:rPr>
      </w:pPr>
      <w:bookmarkStart w:id="16" w:name="_Ref18657534"/>
      <w:r>
        <w:rPr>
          <w:rFonts w:hint="eastAsia"/>
          <w:color w:val="auto"/>
          <w:highlight w:val="none"/>
        </w:rPr>
        <w:br w:type="page"/>
      </w:r>
    </w:p>
    <w:p w14:paraId="131F98E0">
      <w:pPr>
        <w:pStyle w:val="2"/>
        <w:keepLines w:val="0"/>
        <w:pageBreakBefore w:val="0"/>
        <w:ind w:left="0"/>
        <w:rPr>
          <w:rFonts w:hint="eastAsia"/>
          <w:color w:val="auto"/>
          <w:highlight w:val="none"/>
        </w:rPr>
      </w:pPr>
      <w:r>
        <w:rPr>
          <w:rFonts w:hint="eastAsia"/>
          <w:color w:val="auto"/>
          <w:highlight w:val="none"/>
        </w:rPr>
        <w:t>　</w:t>
      </w:r>
      <w:bookmarkStart w:id="17" w:name="_Toc31744"/>
      <w:bookmarkStart w:id="18" w:name="_Toc22516"/>
      <w:bookmarkStart w:id="19" w:name="_Toc8794"/>
      <w:bookmarkStart w:id="20" w:name="_Toc90"/>
      <w:bookmarkStart w:id="21" w:name="_Toc12402"/>
      <w:bookmarkStart w:id="22" w:name="_Toc9589"/>
      <w:bookmarkStart w:id="23" w:name="_Ref20408225"/>
      <w:bookmarkStart w:id="24" w:name="_Toc24093"/>
      <w:bookmarkStart w:id="25" w:name="_Toc16488"/>
      <w:bookmarkStart w:id="26" w:name="_Toc18803"/>
      <w:bookmarkStart w:id="27" w:name="_Toc26899"/>
      <w:r>
        <w:rPr>
          <w:rFonts w:hint="eastAsia"/>
          <w:color w:val="auto"/>
          <w:highlight w:val="none"/>
        </w:rPr>
        <w:t>基本</w:t>
      </w:r>
      <w:r>
        <w:rPr>
          <w:color w:val="auto"/>
          <w:highlight w:val="none"/>
        </w:rPr>
        <w:t>规定</w:t>
      </w:r>
      <w:bookmarkEnd w:id="16"/>
      <w:bookmarkEnd w:id="17"/>
      <w:bookmarkEnd w:id="18"/>
      <w:bookmarkEnd w:id="19"/>
      <w:bookmarkEnd w:id="20"/>
      <w:bookmarkEnd w:id="21"/>
      <w:bookmarkEnd w:id="22"/>
      <w:bookmarkEnd w:id="23"/>
      <w:bookmarkEnd w:id="24"/>
      <w:bookmarkEnd w:id="25"/>
      <w:bookmarkEnd w:id="26"/>
      <w:bookmarkEnd w:id="27"/>
    </w:p>
    <w:p w14:paraId="3E3880D3">
      <w:pPr>
        <w:pStyle w:val="3"/>
        <w:rPr>
          <w:rFonts w:hint="eastAsia"/>
          <w:color w:val="auto"/>
          <w:highlight w:val="none"/>
        </w:rPr>
      </w:pPr>
      <w:bookmarkStart w:id="28" w:name="_Toc21558"/>
      <w:bookmarkStart w:id="29" w:name="_Toc19198"/>
      <w:r>
        <w:rPr>
          <w:rFonts w:hint="eastAsia"/>
          <w:color w:val="auto"/>
          <w:highlight w:val="none"/>
        </w:rPr>
        <w:t>　</w:t>
      </w:r>
      <w:bookmarkStart w:id="30" w:name="_Toc15507"/>
      <w:bookmarkStart w:id="31" w:name="_Toc7434"/>
      <w:bookmarkStart w:id="32" w:name="_Toc25481"/>
      <w:bookmarkStart w:id="33" w:name="_Toc11649"/>
      <w:bookmarkStart w:id="34" w:name="_Toc19339"/>
      <w:bookmarkStart w:id="35" w:name="_Toc27758"/>
      <w:bookmarkStart w:id="36" w:name="_Toc9846"/>
      <w:bookmarkStart w:id="37" w:name="_Toc23888"/>
      <w:r>
        <w:rPr>
          <w:rFonts w:hint="eastAsia"/>
          <w:color w:val="auto"/>
          <w:highlight w:val="none"/>
        </w:rPr>
        <w:t>一般规定</w:t>
      </w:r>
      <w:bookmarkEnd w:id="28"/>
      <w:bookmarkEnd w:id="29"/>
      <w:bookmarkEnd w:id="30"/>
      <w:bookmarkEnd w:id="31"/>
      <w:bookmarkEnd w:id="32"/>
      <w:bookmarkEnd w:id="33"/>
      <w:bookmarkEnd w:id="34"/>
      <w:bookmarkEnd w:id="35"/>
      <w:bookmarkEnd w:id="36"/>
      <w:bookmarkEnd w:id="37"/>
    </w:p>
    <w:p w14:paraId="18B2E204">
      <w:pPr>
        <w:pStyle w:val="4"/>
        <w:rPr>
          <w:rFonts w:hint="eastAsia"/>
          <w:color w:val="auto"/>
          <w:highlight w:val="none"/>
        </w:rPr>
      </w:pPr>
      <w:r>
        <w:rPr>
          <w:rFonts w:hint="eastAsia"/>
          <w:color w:val="auto"/>
          <w:highlight w:val="none"/>
        </w:rPr>
        <w:t>　市政地下空间工程宜在可行性研究、初步设计、施工图设计、施工图深化、施工准备、施工实施和运维</w:t>
      </w:r>
      <w:r>
        <w:rPr>
          <w:color w:val="auto"/>
          <w:highlight w:val="none"/>
        </w:rPr>
        <w:t>各</w:t>
      </w:r>
      <w:r>
        <w:rPr>
          <w:rFonts w:hint="eastAsia"/>
          <w:color w:val="auto"/>
          <w:highlight w:val="none"/>
        </w:rPr>
        <w:t>阶段实现</w:t>
      </w:r>
      <w:r>
        <w:rPr>
          <w:rFonts w:hint="eastAsia"/>
          <w:color w:val="auto"/>
          <w:highlight w:val="none"/>
          <w:lang w:val="en-US" w:eastAsia="zh-CN"/>
        </w:rPr>
        <w:t>平时</w:t>
      </w:r>
      <w:r>
        <w:rPr>
          <w:rFonts w:hint="eastAsia"/>
          <w:color w:val="auto"/>
          <w:highlight w:val="none"/>
          <w:lang w:eastAsia="zh-CN"/>
        </w:rPr>
        <w:t>（</w:t>
      </w:r>
      <w:r>
        <w:rPr>
          <w:rFonts w:hint="eastAsia"/>
          <w:color w:val="auto"/>
          <w:highlight w:val="none"/>
          <w:lang w:val="en-US" w:eastAsia="zh-CN"/>
        </w:rPr>
        <w:t>战时</w:t>
      </w:r>
      <w:r>
        <w:rPr>
          <w:rFonts w:hint="eastAsia"/>
          <w:color w:val="auto"/>
          <w:highlight w:val="none"/>
          <w:lang w:eastAsia="zh-CN"/>
        </w:rPr>
        <w:t>）</w:t>
      </w:r>
      <w:r>
        <w:rPr>
          <w:rFonts w:hint="eastAsia"/>
          <w:color w:val="auto"/>
          <w:highlight w:val="none"/>
        </w:rPr>
        <w:t>全生命期模型创建、管理及应用，也可根据工程项目实际需要应用于某些环节或任务。</w:t>
      </w:r>
    </w:p>
    <w:p w14:paraId="2195723F">
      <w:pPr>
        <w:pStyle w:val="4"/>
        <w:rPr>
          <w:rFonts w:hint="eastAsia"/>
          <w:color w:val="auto"/>
          <w:highlight w:val="none"/>
        </w:rPr>
      </w:pPr>
      <w:r>
        <w:rPr>
          <w:rFonts w:hint="eastAsia"/>
          <w:color w:val="auto"/>
          <w:highlight w:val="none"/>
        </w:rPr>
        <w:t>　模型应用前期规划应满足以下要求：</w:t>
      </w:r>
    </w:p>
    <w:p w14:paraId="7D4C969A">
      <w:pPr>
        <w:numPr>
          <w:ilvl w:val="0"/>
          <w:numId w:val="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市政地下空间工程应在模型应用的前期明确对模型类别的需求，各应用点所需的模型类别应符合本标准附录A的规定。</w:t>
      </w:r>
    </w:p>
    <w:p w14:paraId="7E3A893A">
      <w:pPr>
        <w:numPr>
          <w:ilvl w:val="0"/>
          <w:numId w:val="4"/>
        </w:numPr>
        <w:ind w:firstLine="420"/>
        <w:rPr>
          <w:rFonts w:ascii="宋体" w:hAnsi="宋体" w:eastAsia="宋体"/>
          <w:bCs/>
          <w:color w:val="auto"/>
          <w:szCs w:val="32"/>
          <w:highlight w:val="none"/>
        </w:rPr>
      </w:pPr>
      <w:r>
        <w:rPr>
          <w:rFonts w:hint="eastAsia" w:ascii="宋体" w:hAnsi="宋体" w:eastAsia="宋体"/>
          <w:bCs/>
          <w:color w:val="auto"/>
          <w:szCs w:val="32"/>
          <w:highlight w:val="none"/>
        </w:rPr>
        <w:t>宜明确各阶段模型应用点对建模范围和模型精细度的要求，并应符合现行山西省工程建设地方标准《建筑信息模型设计标准》DBJ04/T</w:t>
      </w:r>
      <w:r>
        <w:rPr>
          <w:rFonts w:ascii="宋体" w:hAnsi="宋体" w:eastAsia="宋体"/>
          <w:bCs/>
          <w:color w:val="auto"/>
          <w:szCs w:val="32"/>
          <w:highlight w:val="none"/>
        </w:rPr>
        <w:t xml:space="preserve"> 421</w:t>
      </w:r>
      <w:r>
        <w:rPr>
          <w:rFonts w:hint="eastAsia" w:ascii="宋体" w:hAnsi="宋体" w:eastAsia="宋体"/>
          <w:bCs/>
          <w:color w:val="auto"/>
          <w:szCs w:val="32"/>
          <w:highlight w:val="none"/>
        </w:rPr>
        <w:t>的相关规定，不宜过度建模。</w:t>
      </w:r>
    </w:p>
    <w:p w14:paraId="26AF7CDE">
      <w:pPr>
        <w:numPr>
          <w:ilvl w:val="0"/>
          <w:numId w:val="4"/>
        </w:numPr>
        <w:ind w:firstLine="420"/>
        <w:rPr>
          <w:rFonts w:ascii="宋体" w:hAnsi="宋体" w:eastAsia="宋体"/>
          <w:bCs/>
          <w:color w:val="auto"/>
          <w:szCs w:val="32"/>
          <w:highlight w:val="none"/>
        </w:rPr>
      </w:pPr>
      <w:r>
        <w:rPr>
          <w:rFonts w:hint="eastAsia" w:ascii="宋体" w:hAnsi="宋体" w:eastAsia="宋体"/>
          <w:bCs/>
          <w:color w:val="auto"/>
          <w:szCs w:val="32"/>
          <w:highlight w:val="none"/>
        </w:rPr>
        <w:t>模型应用宜包括信息集成、计算分析、模拟展示、沟通协调、成果发布等内容。</w:t>
      </w:r>
    </w:p>
    <w:p w14:paraId="355621CC">
      <w:pPr>
        <w:numPr>
          <w:ilvl w:val="0"/>
          <w:numId w:val="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模型创建与应用应满足《</w:t>
      </w:r>
      <w:r>
        <w:rPr>
          <w:rFonts w:hint="eastAsia" w:ascii="宋体" w:hAnsi="宋体" w:eastAsia="宋体"/>
          <w:bCs/>
          <w:color w:val="auto"/>
          <w:szCs w:val="32"/>
          <w:highlight w:val="none"/>
          <w:lang w:val="en-US" w:eastAsia="zh-CN"/>
        </w:rPr>
        <w:t>建筑信息模型应用统一</w:t>
      </w:r>
      <w:r>
        <w:rPr>
          <w:rFonts w:hint="eastAsia" w:ascii="宋体" w:hAnsi="宋体" w:eastAsia="宋体"/>
          <w:bCs/>
          <w:color w:val="auto"/>
          <w:szCs w:val="32"/>
          <w:highlight w:val="none"/>
        </w:rPr>
        <w:t>标准》</w:t>
      </w:r>
      <w:r>
        <w:rPr>
          <w:rFonts w:hint="eastAsia" w:ascii="宋体" w:hAnsi="宋体" w:eastAsia="宋体"/>
          <w:bCs/>
          <w:color w:val="auto"/>
          <w:szCs w:val="32"/>
          <w:highlight w:val="none"/>
          <w:lang w:val="en-US" w:eastAsia="zh-CN"/>
        </w:rPr>
        <w:t>GB</w:t>
      </w:r>
      <w:r>
        <w:rPr>
          <w:rFonts w:hint="eastAsia" w:ascii="宋体" w:hAnsi="宋体" w:eastAsia="宋体"/>
          <w:bCs/>
          <w:color w:val="auto"/>
          <w:szCs w:val="32"/>
          <w:highlight w:val="none"/>
        </w:rPr>
        <w:t>/T</w:t>
      </w:r>
      <w:r>
        <w:rPr>
          <w:rFonts w:hint="eastAsia" w:ascii="宋体" w:hAnsi="宋体" w:eastAsia="宋体"/>
          <w:bCs/>
          <w:color w:val="auto"/>
          <w:szCs w:val="32"/>
          <w:highlight w:val="none"/>
          <w:lang w:val="en-US" w:eastAsia="zh-CN"/>
        </w:rPr>
        <w:t>51212与</w:t>
      </w:r>
      <w:r>
        <w:rPr>
          <w:rFonts w:hint="eastAsia"/>
          <w:color w:val="auto"/>
          <w:highlight w:val="none"/>
        </w:rPr>
        <w:t>《建筑信息模型应用统一标准》</w:t>
      </w:r>
      <w:r>
        <w:rPr>
          <w:rFonts w:hint="default" w:ascii="宋体" w:hAnsi="宋体" w:eastAsia="宋体"/>
          <w:bCs/>
          <w:color w:val="auto"/>
          <w:szCs w:val="32"/>
          <w:highlight w:val="none"/>
        </w:rPr>
        <w:t>DBJ04/T 380</w:t>
      </w:r>
      <w:r>
        <w:rPr>
          <w:rFonts w:hint="eastAsia" w:ascii="宋体" w:hAnsi="宋体" w:eastAsia="宋体"/>
          <w:bCs/>
          <w:color w:val="auto"/>
          <w:szCs w:val="32"/>
          <w:highlight w:val="none"/>
        </w:rPr>
        <w:t>中</w:t>
      </w:r>
      <w:r>
        <w:rPr>
          <w:rFonts w:hint="eastAsia" w:ascii="宋体" w:hAnsi="宋体" w:eastAsia="宋体"/>
          <w:bCs/>
          <w:color w:val="auto"/>
          <w:szCs w:val="32"/>
          <w:highlight w:val="none"/>
          <w:lang w:val="en-US" w:eastAsia="zh-CN"/>
        </w:rPr>
        <w:t>的相关</w:t>
      </w:r>
      <w:r>
        <w:rPr>
          <w:rFonts w:hint="eastAsia" w:ascii="宋体" w:hAnsi="宋体" w:eastAsia="宋体"/>
          <w:bCs/>
          <w:color w:val="auto"/>
          <w:szCs w:val="32"/>
          <w:highlight w:val="none"/>
        </w:rPr>
        <w:t>要求。</w:t>
      </w:r>
    </w:p>
    <w:p w14:paraId="445B5E15">
      <w:pPr>
        <w:pStyle w:val="4"/>
        <w:rPr>
          <w:rFonts w:hint="eastAsia"/>
          <w:color w:val="auto"/>
          <w:highlight w:val="none"/>
        </w:rPr>
      </w:pPr>
      <w:r>
        <w:rPr>
          <w:rFonts w:hint="eastAsia"/>
          <w:color w:val="auto"/>
          <w:highlight w:val="none"/>
        </w:rPr>
        <w:t>　模型创建应满足以下要求：</w:t>
      </w:r>
    </w:p>
    <w:p w14:paraId="003536B5">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模型应包含几何信息和属性信息。</w:t>
      </w:r>
    </w:p>
    <w:p w14:paraId="14806086">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模型创建应采用统一的公制单位。</w:t>
      </w:r>
    </w:p>
    <w:p w14:paraId="1C03B2F3">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模型单元应根据项目实际情况制定统一的材质、颜色方案。</w:t>
      </w:r>
    </w:p>
    <w:p w14:paraId="54F4D3F2">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模型结构应具有开放性和可扩展性。</w:t>
      </w:r>
    </w:p>
    <w:p w14:paraId="4F73DBC1">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模型在增加、细化、拆分、合并、整合、轻量化等操作后应进行准确性和完整性检查</w:t>
      </w:r>
      <w:bookmarkStart w:id="38" w:name="_Hlk36313672"/>
      <w:r>
        <w:rPr>
          <w:rFonts w:hint="eastAsia" w:ascii="宋体" w:hAnsi="宋体" w:eastAsia="宋体"/>
          <w:bCs/>
          <w:color w:val="auto"/>
          <w:szCs w:val="32"/>
          <w:highlight w:val="none"/>
        </w:rPr>
        <w:t>。</w:t>
      </w:r>
    </w:p>
    <w:p w14:paraId="2AC26A15">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模型应用的实施方应根据该阶段掌握的资料构建当前阶段的基础模型，并根据各应用点的具体需求处理形成适用于各应用点的专用模型，各阶段基础模型和各应用点专用模型应符合本标准附录B的相关规定。</w:t>
      </w:r>
      <w:bookmarkEnd w:id="38"/>
    </w:p>
    <w:p w14:paraId="7F6C81D7">
      <w:pPr>
        <w:pStyle w:val="4"/>
        <w:rPr>
          <w:rFonts w:hint="eastAsia"/>
          <w:color w:val="auto"/>
          <w:szCs w:val="24"/>
          <w:highlight w:val="none"/>
        </w:rPr>
      </w:pPr>
      <w:r>
        <w:rPr>
          <w:rFonts w:hint="eastAsia"/>
          <w:color w:val="auto"/>
          <w:szCs w:val="24"/>
          <w:highlight w:val="none"/>
        </w:rPr>
        <w:t xml:space="preserve">  模型数据应满足以下要求：</w:t>
      </w:r>
    </w:p>
    <w:p w14:paraId="1583DDA0">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模型应用前期应制定数据交换规则。数据交换规则应确保各阶段、各专业数据传递的完整性、准确性。</w:t>
      </w:r>
    </w:p>
    <w:p w14:paraId="7ED9F3D3">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通过不同途径获取的同一模型数据应具有唯一性。采用不同方式表达的模型数据应具有一致性。</w:t>
      </w:r>
    </w:p>
    <w:p w14:paraId="0A6BF3E8">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设施设备模型交付宜同步交付设施设备建设运维信息。</w:t>
      </w:r>
    </w:p>
    <w:p w14:paraId="6A78CC18">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BIM软件之间数据交互应同时兼顾模型数据和信息数据。</w:t>
      </w:r>
    </w:p>
    <w:p w14:paraId="373A9321">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BIM成果模型源文件应保证项目BIM实施的可持续。</w:t>
      </w:r>
    </w:p>
    <w:p w14:paraId="5D2B2DBB">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BIM成果交付时应储存于光盘/U盘等数据储存载体中，并具有电子/纸质说明文档。图纸、文本等相关纸质成果交付形式应满足国家相关规定。</w:t>
      </w:r>
    </w:p>
    <w:p w14:paraId="5C86497B">
      <w:pPr>
        <w:pStyle w:val="3"/>
        <w:rPr>
          <w:rFonts w:hint="eastAsia"/>
          <w:color w:val="auto"/>
          <w:highlight w:val="none"/>
        </w:rPr>
      </w:pPr>
      <w:r>
        <w:rPr>
          <w:rFonts w:hint="eastAsia"/>
          <w:color w:val="auto"/>
          <w:highlight w:val="none"/>
        </w:rPr>
        <w:t>　</w:t>
      </w:r>
      <w:bookmarkStart w:id="39" w:name="_Toc3928"/>
      <w:bookmarkStart w:id="40" w:name="_Toc26266"/>
      <w:bookmarkStart w:id="41" w:name="_Toc12150"/>
      <w:bookmarkStart w:id="42" w:name="_Toc19422"/>
      <w:bookmarkStart w:id="43" w:name="_Toc7"/>
      <w:bookmarkStart w:id="44" w:name="_Toc19702"/>
      <w:bookmarkStart w:id="45" w:name="_Toc32422"/>
      <w:bookmarkStart w:id="46" w:name="_Toc18481"/>
      <w:bookmarkStart w:id="47" w:name="_Toc12244"/>
      <w:bookmarkStart w:id="48" w:name="_Toc9364"/>
      <w:r>
        <w:rPr>
          <w:rFonts w:hint="eastAsia"/>
          <w:color w:val="auto"/>
          <w:highlight w:val="none"/>
        </w:rPr>
        <w:t>协同要求</w:t>
      </w:r>
      <w:bookmarkEnd w:id="39"/>
      <w:bookmarkEnd w:id="40"/>
      <w:bookmarkEnd w:id="41"/>
      <w:bookmarkEnd w:id="42"/>
      <w:bookmarkEnd w:id="43"/>
      <w:bookmarkEnd w:id="44"/>
      <w:bookmarkEnd w:id="45"/>
      <w:bookmarkEnd w:id="46"/>
      <w:bookmarkEnd w:id="47"/>
      <w:bookmarkEnd w:id="48"/>
    </w:p>
    <w:p w14:paraId="26BDD8C4">
      <w:pPr>
        <w:pStyle w:val="4"/>
        <w:rPr>
          <w:rFonts w:hint="eastAsia"/>
          <w:color w:val="auto"/>
          <w:highlight w:val="none"/>
        </w:rPr>
      </w:pPr>
      <w:r>
        <w:rPr>
          <w:rFonts w:hint="eastAsia"/>
          <w:color w:val="auto"/>
          <w:highlight w:val="none"/>
        </w:rPr>
        <w:t>　模型和数据应满足市政地下空间工程全生命期协同工作的需要，支持各阶段和各专业信息的获取、更新和管理。</w:t>
      </w:r>
    </w:p>
    <w:p w14:paraId="5C318BF4">
      <w:pPr>
        <w:pStyle w:val="4"/>
        <w:rPr>
          <w:rFonts w:hint="eastAsia"/>
          <w:color w:val="auto"/>
          <w:highlight w:val="none"/>
        </w:rPr>
      </w:pPr>
      <w:r>
        <w:rPr>
          <w:rFonts w:hint="eastAsia"/>
          <w:color w:val="auto"/>
          <w:highlight w:val="none"/>
        </w:rPr>
        <w:t>　市政地下空间工程各阶段、各专业模型应用成果的移交和交付时，应包括模型和相对应的关联资料。</w:t>
      </w:r>
    </w:p>
    <w:p w14:paraId="73D2E4AE">
      <w:pPr>
        <w:pStyle w:val="4"/>
        <w:rPr>
          <w:rFonts w:hint="eastAsia"/>
          <w:color w:val="auto"/>
          <w:highlight w:val="none"/>
        </w:rPr>
      </w:pPr>
      <w:r>
        <w:rPr>
          <w:rFonts w:hint="eastAsia"/>
          <w:color w:val="auto"/>
          <w:highlight w:val="none"/>
        </w:rPr>
        <w:t>　</w:t>
      </w:r>
      <w:r>
        <w:rPr>
          <w:rFonts w:hint="eastAsia" w:cs="仿宋_GB2312" w:asciiTheme="minorEastAsia" w:hAnsiTheme="minorEastAsia" w:eastAsiaTheme="minorEastAsia"/>
          <w:color w:val="auto"/>
          <w:kern w:val="0"/>
          <w:szCs w:val="21"/>
          <w:highlight w:val="none"/>
        </w:rPr>
        <w:t>市政地下空间工程各参建方应签订模型数据互用协议，明确互用数据的内容、格式、验收条件和权利归属，并制定统一的数字化成果命名规则、编码规则及存储格式</w:t>
      </w:r>
      <w:r>
        <w:rPr>
          <w:rFonts w:hint="eastAsia"/>
          <w:color w:val="auto"/>
          <w:highlight w:val="none"/>
        </w:rPr>
        <w:t>。</w:t>
      </w:r>
    </w:p>
    <w:p w14:paraId="7C9BEDA1">
      <w:pPr>
        <w:pStyle w:val="4"/>
        <w:rPr>
          <w:rFonts w:hint="eastAsia"/>
          <w:color w:val="auto"/>
          <w:highlight w:val="none"/>
        </w:rPr>
      </w:pPr>
      <w:r>
        <w:rPr>
          <w:rFonts w:hint="eastAsia"/>
          <w:color w:val="auto"/>
          <w:highlight w:val="none"/>
        </w:rPr>
        <w:t>　</w:t>
      </w:r>
      <w:r>
        <w:rPr>
          <w:rFonts w:hint="eastAsia" w:cs="仿宋_GB2312" w:asciiTheme="minorEastAsia" w:hAnsiTheme="minorEastAsia" w:eastAsiaTheme="minorEastAsia"/>
          <w:color w:val="auto"/>
          <w:kern w:val="0"/>
          <w:szCs w:val="21"/>
          <w:highlight w:val="none"/>
        </w:rPr>
        <w:t>市政地下空间工程全生命期模型应用应制定协同工作策略，主要内容包括</w:t>
      </w:r>
      <w:r>
        <w:rPr>
          <w:rFonts w:hint="eastAsia"/>
          <w:color w:val="auto"/>
          <w:highlight w:val="none"/>
        </w:rPr>
        <w:t>：</w:t>
      </w:r>
    </w:p>
    <w:p w14:paraId="04F83499">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基于模型的协同工作方式或并行工作模式；</w:t>
      </w:r>
    </w:p>
    <w:p w14:paraId="410695D8">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数据交互及交付的管理流程；</w:t>
      </w:r>
    </w:p>
    <w:p w14:paraId="34AF4527">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各参建方可提供的资源支持和实施分工；</w:t>
      </w:r>
    </w:p>
    <w:p w14:paraId="42FCC029">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基于模型的沟通协调机制；</w:t>
      </w:r>
    </w:p>
    <w:p w14:paraId="7564BA4F">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模型、数据及应用成果的归档管理办法。</w:t>
      </w:r>
    </w:p>
    <w:p w14:paraId="344C6B9A">
      <w:pPr>
        <w:pStyle w:val="4"/>
        <w:rPr>
          <w:rFonts w:hint="eastAsia"/>
          <w:color w:val="auto"/>
          <w:highlight w:val="none"/>
        </w:rPr>
      </w:pPr>
      <w:r>
        <w:rPr>
          <w:rFonts w:hint="eastAsia"/>
          <w:color w:val="auto"/>
          <w:highlight w:val="none"/>
        </w:rPr>
        <w:t>　</w:t>
      </w:r>
      <w:r>
        <w:rPr>
          <w:rFonts w:hint="eastAsia" w:cs="仿宋_GB2312" w:asciiTheme="minorEastAsia" w:hAnsiTheme="minorEastAsia" w:eastAsiaTheme="minorEastAsia"/>
          <w:color w:val="auto"/>
          <w:kern w:val="0"/>
          <w:szCs w:val="21"/>
          <w:highlight w:val="none"/>
        </w:rPr>
        <w:t>市政地下空间工程全生命期模型应用宜根据各阶段、各专业协同需求，建立协同管理机构和平台，</w:t>
      </w:r>
      <w:r>
        <w:rPr>
          <w:rFonts w:hint="eastAsia"/>
          <w:color w:val="auto"/>
          <w:highlight w:val="none"/>
        </w:rPr>
        <w:t>并根据各参建方的任务设置必要的权限。</w:t>
      </w:r>
    </w:p>
    <w:p w14:paraId="72C8B302">
      <w:pPr>
        <w:pStyle w:val="4"/>
        <w:rPr>
          <w:rFonts w:hint="eastAsia"/>
          <w:color w:val="auto"/>
          <w:highlight w:val="none"/>
        </w:rPr>
      </w:pPr>
      <w:r>
        <w:rPr>
          <w:rFonts w:hint="eastAsia"/>
          <w:color w:val="auto"/>
          <w:highlight w:val="none"/>
        </w:rPr>
        <w:t>　市政地下空间各阶段的协同管理平台宜具备以下功能：</w:t>
      </w:r>
    </w:p>
    <w:p w14:paraId="1888392F">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可行性研究阶段：具备跟踪报批程序、评估建筑物性能指标、各类方案设计对比展示等功能；</w:t>
      </w:r>
    </w:p>
    <w:p w14:paraId="3D067174">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初步设计阶段：具备图纸问题记录、多专业协同处理等功能；</w:t>
      </w:r>
    </w:p>
    <w:p w14:paraId="3B3B3D84">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施工图设计阶段：具备图纸问题记录、多专业协同处理等功能；</w:t>
      </w:r>
    </w:p>
    <w:p w14:paraId="6AB3CAA4">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施工图深化阶段：具备图纸问题记录和多专业协同处理、装配式构件深化等功能；</w:t>
      </w:r>
    </w:p>
    <w:p w14:paraId="0E71DFAE">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施工准备阶段：具备图纸问题记录和多专业协同处理、复杂节点优化、施工方案可视化、资源损耗分析等功能；</w:t>
      </w:r>
    </w:p>
    <w:p w14:paraId="419ED17B">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施工实施阶段：具备施工进度管理、施工质量管理、施工安全管理、施工成本管理、影像资料采集和资料关联交付、辅助验工计量、数字化竣工交付等功能；</w:t>
      </w:r>
    </w:p>
    <w:p w14:paraId="04D7292A">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阶段：具备满足模型可视化要求的轻量化图形引擎,支持常用格式的模型文件的解析和结构化存储,支持常见运维系统状态数据的接入,提供维护管理、应急管理、资产管理、设备集成与监控和可视化培训等功能，支持平台数据的定期备份等功能。</w:t>
      </w:r>
    </w:p>
    <w:p w14:paraId="68A51B49">
      <w:pPr>
        <w:pStyle w:val="3"/>
        <w:rPr>
          <w:rFonts w:hint="eastAsia"/>
          <w:color w:val="auto"/>
          <w:highlight w:val="none"/>
        </w:rPr>
      </w:pPr>
      <w:r>
        <w:rPr>
          <w:rFonts w:hint="eastAsia"/>
          <w:color w:val="auto"/>
          <w:highlight w:val="none"/>
        </w:rPr>
        <w:t>　</w:t>
      </w:r>
      <w:bookmarkStart w:id="49" w:name="_Toc1195"/>
      <w:bookmarkStart w:id="50" w:name="_Toc4441"/>
      <w:bookmarkStart w:id="51" w:name="_Toc12339"/>
      <w:bookmarkStart w:id="52" w:name="_Toc8233"/>
      <w:bookmarkStart w:id="53" w:name="_Toc22205"/>
      <w:bookmarkStart w:id="54" w:name="_Toc1175"/>
      <w:bookmarkStart w:id="55" w:name="_Toc25678"/>
      <w:bookmarkStart w:id="56" w:name="_Toc22701"/>
      <w:r>
        <w:rPr>
          <w:rFonts w:hint="eastAsia"/>
          <w:color w:val="auto"/>
          <w:highlight w:val="none"/>
        </w:rPr>
        <w:t>实施策划</w:t>
      </w:r>
      <w:bookmarkEnd w:id="49"/>
      <w:bookmarkEnd w:id="50"/>
      <w:bookmarkEnd w:id="51"/>
      <w:bookmarkEnd w:id="52"/>
      <w:bookmarkEnd w:id="53"/>
      <w:bookmarkEnd w:id="54"/>
      <w:bookmarkEnd w:id="55"/>
      <w:bookmarkEnd w:id="56"/>
    </w:p>
    <w:p w14:paraId="2114AA5F">
      <w:pPr>
        <w:pStyle w:val="4"/>
        <w:rPr>
          <w:rFonts w:hint="eastAsia"/>
          <w:color w:val="auto"/>
          <w:highlight w:val="none"/>
        </w:rPr>
      </w:pPr>
      <w:r>
        <w:rPr>
          <w:rFonts w:hint="eastAsia"/>
          <w:color w:val="auto"/>
          <w:highlight w:val="none"/>
        </w:rPr>
        <w:t>　市政地下空间工程各阶段应根据实际需求编制模型实施策划，并符合现行山西省工程建设地方标准《建筑信息模型应用统一标准》DBJ04/T 380的相关规定。</w:t>
      </w:r>
    </w:p>
    <w:p w14:paraId="044DC74B">
      <w:pPr>
        <w:pStyle w:val="4"/>
        <w:rPr>
          <w:rFonts w:hint="eastAsia"/>
          <w:color w:val="auto"/>
          <w:highlight w:val="none"/>
        </w:rPr>
      </w:pPr>
      <w:r>
        <w:rPr>
          <w:rFonts w:hint="eastAsia"/>
          <w:color w:val="auto"/>
          <w:highlight w:val="none"/>
        </w:rPr>
        <w:t>　市政地下空间工程模型实施策划应明确实施目标、应用范围与深度、参与方职责与协同机制、数据标准与规范、软硬件选型策略及风险应对措施。</w:t>
      </w:r>
    </w:p>
    <w:p w14:paraId="45F87F92">
      <w:pPr>
        <w:spacing w:line="240" w:lineRule="auto"/>
        <w:ind w:firstLine="0" w:firstLineChars="0"/>
        <w:jc w:val="left"/>
        <w:rPr>
          <w:rFonts w:hint="eastAsia" w:ascii="宋体" w:hAnsi="宋体"/>
          <w:bCs/>
          <w:color w:val="auto"/>
          <w:szCs w:val="32"/>
          <w:highlight w:val="none"/>
        </w:rPr>
      </w:pPr>
      <w:r>
        <w:rPr>
          <w:color w:val="auto"/>
          <w:highlight w:val="none"/>
        </w:rPr>
        <w:br w:type="page"/>
      </w:r>
    </w:p>
    <w:p w14:paraId="6942D2F0">
      <w:pPr>
        <w:pStyle w:val="2"/>
        <w:keepNext w:val="0"/>
        <w:keepLines w:val="0"/>
        <w:pageBreakBefore w:val="0"/>
        <w:ind w:left="0"/>
        <w:rPr>
          <w:rFonts w:hint="eastAsia"/>
          <w:color w:val="auto"/>
          <w:highlight w:val="none"/>
          <w:lang w:val="en-US"/>
        </w:rPr>
      </w:pPr>
      <w:r>
        <w:rPr>
          <w:rFonts w:hint="eastAsia"/>
          <w:color w:val="auto"/>
          <w:highlight w:val="none"/>
        </w:rPr>
        <w:t>　</w:t>
      </w:r>
      <w:bookmarkStart w:id="57" w:name="_Toc10906"/>
      <w:bookmarkStart w:id="58" w:name="_Toc4218"/>
      <w:bookmarkStart w:id="59" w:name="_Toc31331"/>
      <w:bookmarkStart w:id="60" w:name="_Toc8587"/>
      <w:bookmarkStart w:id="61" w:name="_Toc16365"/>
      <w:bookmarkStart w:id="62" w:name="_Toc15241"/>
      <w:bookmarkStart w:id="63" w:name="_Toc13151"/>
      <w:r>
        <w:rPr>
          <w:rFonts w:hint="eastAsia"/>
          <w:color w:val="auto"/>
          <w:highlight w:val="none"/>
          <w:lang w:val="en-US"/>
        </w:rPr>
        <w:t>可行性研究阶段</w:t>
      </w:r>
      <w:bookmarkEnd w:id="57"/>
      <w:bookmarkEnd w:id="58"/>
      <w:bookmarkEnd w:id="59"/>
      <w:bookmarkEnd w:id="60"/>
      <w:bookmarkEnd w:id="61"/>
      <w:bookmarkEnd w:id="62"/>
      <w:bookmarkEnd w:id="63"/>
    </w:p>
    <w:p w14:paraId="43A3254B">
      <w:pPr>
        <w:pStyle w:val="3"/>
        <w:rPr>
          <w:rFonts w:hint="eastAsia"/>
          <w:color w:val="auto"/>
          <w:highlight w:val="none"/>
        </w:rPr>
      </w:pPr>
      <w:r>
        <w:rPr>
          <w:rFonts w:hint="eastAsia"/>
          <w:color w:val="auto"/>
          <w:highlight w:val="none"/>
        </w:rPr>
        <w:t>　</w:t>
      </w:r>
      <w:bookmarkStart w:id="64" w:name="_Toc5785"/>
      <w:r>
        <w:rPr>
          <w:rFonts w:hint="eastAsia"/>
          <w:color w:val="auto"/>
          <w:highlight w:val="none"/>
        </w:rPr>
        <w:t>一般规定</w:t>
      </w:r>
      <w:bookmarkEnd w:id="64"/>
    </w:p>
    <w:p w14:paraId="64DA7B7F">
      <w:pPr>
        <w:pStyle w:val="4"/>
        <w:rPr>
          <w:rFonts w:hint="eastAsia"/>
          <w:color w:val="auto"/>
          <w:highlight w:val="none"/>
        </w:rPr>
      </w:pPr>
      <w:r>
        <w:rPr>
          <w:rFonts w:hint="eastAsia"/>
          <w:color w:val="auto"/>
          <w:highlight w:val="none"/>
        </w:rPr>
        <w:t>　市政地下空间工程在可行性研究阶段的主要应用内容宜根据工程实际需求实施</w:t>
      </w:r>
      <w:r>
        <w:rPr>
          <w:rFonts w:hint="eastAsia"/>
          <w:color w:val="auto"/>
          <w:highlight w:val="none"/>
          <w:lang w:eastAsia="zh-Hans"/>
        </w:rPr>
        <w:t>规划控制管理</w:t>
      </w:r>
      <w:r>
        <w:rPr>
          <w:rFonts w:hint="eastAsia"/>
          <w:color w:val="auto"/>
          <w:highlight w:val="none"/>
        </w:rPr>
        <w:t>、</w:t>
      </w:r>
      <w:r>
        <w:rPr>
          <w:rFonts w:hint="eastAsia"/>
          <w:color w:val="auto"/>
          <w:highlight w:val="none"/>
          <w:lang w:eastAsia="zh-Hans"/>
        </w:rPr>
        <w:t>周边环境分析</w:t>
      </w:r>
      <w:r>
        <w:rPr>
          <w:rFonts w:hint="eastAsia"/>
          <w:color w:val="auto"/>
          <w:highlight w:val="none"/>
        </w:rPr>
        <w:t>、</w:t>
      </w:r>
      <w:r>
        <w:rPr>
          <w:rFonts w:hint="eastAsia"/>
          <w:color w:val="auto"/>
          <w:highlight w:val="none"/>
          <w:lang w:eastAsia="zh-Hans"/>
        </w:rPr>
        <w:t>方案比选</w:t>
      </w:r>
      <w:r>
        <w:rPr>
          <w:rFonts w:hint="eastAsia"/>
          <w:color w:val="auto"/>
          <w:highlight w:val="none"/>
        </w:rPr>
        <w:t>等应用点。</w:t>
      </w:r>
    </w:p>
    <w:p w14:paraId="2CC09B64">
      <w:pPr>
        <w:pStyle w:val="4"/>
        <w:rPr>
          <w:rFonts w:hint="eastAsia"/>
          <w:color w:val="auto"/>
          <w:highlight w:val="none"/>
        </w:rPr>
      </w:pPr>
      <w:r>
        <w:rPr>
          <w:rFonts w:hint="eastAsia"/>
          <w:color w:val="auto"/>
          <w:highlight w:val="none"/>
        </w:rPr>
        <w:t>　方案设计模型应根据可行性研究报告、设计方案等基础资料创建，并满足方案报批和审批的应用要求。</w:t>
      </w:r>
    </w:p>
    <w:p w14:paraId="74162683">
      <w:pPr>
        <w:pStyle w:val="4"/>
        <w:rPr>
          <w:rFonts w:hint="eastAsia"/>
          <w:color w:val="auto"/>
          <w:highlight w:val="none"/>
        </w:rPr>
      </w:pPr>
      <w:r>
        <w:rPr>
          <w:rFonts w:hint="eastAsia"/>
          <w:color w:val="auto"/>
          <w:highlight w:val="none"/>
        </w:rPr>
        <w:t>　应以方案设计模型为基础，</w:t>
      </w:r>
      <w:r>
        <w:rPr>
          <w:rFonts w:hint="eastAsia"/>
          <w:color w:val="auto"/>
          <w:highlight w:val="none"/>
          <w:lang w:val="en-US" w:eastAsia="zh-CN"/>
        </w:rPr>
        <w:t>结合</w:t>
      </w:r>
      <w:r>
        <w:rPr>
          <w:rFonts w:hint="eastAsia"/>
          <w:color w:val="auto"/>
          <w:highlight w:val="none"/>
        </w:rPr>
        <w:t>各应用点实施需求，形成规划控制模型、周边环境模型、方案比选模型。</w:t>
      </w:r>
    </w:p>
    <w:p w14:paraId="5E92A621">
      <w:pPr>
        <w:pStyle w:val="3"/>
        <w:rPr>
          <w:rFonts w:hint="eastAsia"/>
          <w:color w:val="auto"/>
          <w:highlight w:val="none"/>
        </w:rPr>
      </w:pPr>
      <w:r>
        <w:rPr>
          <w:rFonts w:hint="eastAsia"/>
          <w:color w:val="auto"/>
          <w:highlight w:val="none"/>
        </w:rPr>
        <w:t>　</w:t>
      </w:r>
      <w:bookmarkStart w:id="65" w:name="_Toc24235"/>
      <w:r>
        <w:rPr>
          <w:rFonts w:hint="eastAsia"/>
          <w:color w:val="auto"/>
          <w:highlight w:val="none"/>
        </w:rPr>
        <w:t>规划控制管理</w:t>
      </w:r>
      <w:bookmarkEnd w:id="65"/>
    </w:p>
    <w:p w14:paraId="3AFC1C3A">
      <w:pPr>
        <w:pStyle w:val="4"/>
        <w:rPr>
          <w:rFonts w:hint="eastAsia"/>
          <w:color w:val="auto"/>
          <w:highlight w:val="none"/>
        </w:rPr>
      </w:pPr>
      <w:r>
        <w:rPr>
          <w:rFonts w:hint="eastAsia"/>
          <w:color w:val="auto"/>
          <w:highlight w:val="none"/>
        </w:rPr>
        <w:t>　规划控制管理的基础资料应包含下列主要内容：</w:t>
      </w:r>
    </w:p>
    <w:p w14:paraId="74D3A78C">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、工程水文资料、规划文件、建设地块信息、规划方案；</w:t>
      </w:r>
    </w:p>
    <w:p w14:paraId="76CF94D3">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电子地图、GIS数据等地理信息数据；</w:t>
      </w:r>
    </w:p>
    <w:p w14:paraId="148D634F">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方案设计模型。</w:t>
      </w:r>
    </w:p>
    <w:p w14:paraId="0F277C88">
      <w:pPr>
        <w:pStyle w:val="4"/>
        <w:rPr>
          <w:rFonts w:hint="eastAsia"/>
          <w:color w:val="auto"/>
          <w:highlight w:val="none"/>
        </w:rPr>
      </w:pPr>
      <w:r>
        <w:rPr>
          <w:rFonts w:hint="eastAsia"/>
          <w:color w:val="auto"/>
          <w:highlight w:val="none"/>
        </w:rPr>
        <w:t>　规划控制管理宜按下列程序实施：</w:t>
      </w:r>
    </w:p>
    <w:p w14:paraId="78E13509">
      <w:pPr>
        <w:numPr>
          <w:ilvl w:val="0"/>
          <w:numId w:val="1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基于市政地下空间工程方案设计模型，结合城市控制性详细规划，建立规划控制模型；</w:t>
      </w:r>
    </w:p>
    <w:p w14:paraId="72BC8CFB">
      <w:pPr>
        <w:numPr>
          <w:ilvl w:val="0"/>
          <w:numId w:val="1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利用规划控制模型核查是否符合用地性质以及市政地下空间工程与规划控制线的距离关系；</w:t>
      </w:r>
    </w:p>
    <w:p w14:paraId="46797CFB">
      <w:pPr>
        <w:numPr>
          <w:ilvl w:val="0"/>
          <w:numId w:val="1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形成规划控制核查报告，辅助优化设计方案。</w:t>
      </w:r>
    </w:p>
    <w:p w14:paraId="3DBC9681">
      <w:pPr>
        <w:pStyle w:val="4"/>
        <w:rPr>
          <w:rFonts w:hint="eastAsia"/>
          <w:color w:val="auto"/>
          <w:highlight w:val="none"/>
        </w:rPr>
      </w:pPr>
      <w:r>
        <w:rPr>
          <w:rFonts w:hint="eastAsia"/>
          <w:color w:val="auto"/>
          <w:highlight w:val="none"/>
        </w:rPr>
        <w:t>　规划控制管理实施后的成果宜包含下列内容：</w:t>
      </w:r>
    </w:p>
    <w:p w14:paraId="06E6AD3B">
      <w:pPr>
        <w:numPr>
          <w:ilvl w:val="0"/>
          <w:numId w:val="1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规划控制模型；</w:t>
      </w:r>
    </w:p>
    <w:p w14:paraId="5A906628">
      <w:pPr>
        <w:numPr>
          <w:ilvl w:val="0"/>
          <w:numId w:val="1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规划控制核查报告。</w:t>
      </w:r>
    </w:p>
    <w:p w14:paraId="70ABEF6F">
      <w:pPr>
        <w:pStyle w:val="3"/>
        <w:rPr>
          <w:rFonts w:hint="eastAsia"/>
          <w:color w:val="auto"/>
          <w:highlight w:val="none"/>
        </w:rPr>
      </w:pPr>
      <w:r>
        <w:rPr>
          <w:rFonts w:hint="eastAsia"/>
          <w:color w:val="auto"/>
          <w:highlight w:val="none"/>
        </w:rPr>
        <w:t>　</w:t>
      </w:r>
      <w:bookmarkStart w:id="66" w:name="_Toc12790"/>
      <w:r>
        <w:rPr>
          <w:rFonts w:hint="eastAsia"/>
          <w:color w:val="auto"/>
          <w:highlight w:val="none"/>
        </w:rPr>
        <w:t>周边环境分析</w:t>
      </w:r>
      <w:bookmarkEnd w:id="66"/>
    </w:p>
    <w:p w14:paraId="0F0D6C8A">
      <w:pPr>
        <w:pStyle w:val="4"/>
        <w:rPr>
          <w:rFonts w:hint="eastAsia"/>
          <w:color w:val="auto"/>
          <w:highlight w:val="none"/>
        </w:rPr>
      </w:pPr>
      <w:r>
        <w:rPr>
          <w:rFonts w:hint="eastAsia"/>
          <w:color w:val="auto"/>
          <w:highlight w:val="none"/>
        </w:rPr>
        <w:t>　周边环境分析的基础资料应包含下列主要内容：</w:t>
      </w:r>
    </w:p>
    <w:p w14:paraId="11099D50">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、工程水文资料、规划文件、建设地块信息、规划模型或方案；</w:t>
      </w:r>
    </w:p>
    <w:p w14:paraId="38E4BBDD">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电子地图、GIS数据等地理信息数据；</w:t>
      </w:r>
    </w:p>
    <w:p w14:paraId="3A07D0CC">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现场相关数据、图片及周边管网数据。</w:t>
      </w:r>
    </w:p>
    <w:p w14:paraId="58E1EED6">
      <w:pPr>
        <w:pStyle w:val="4"/>
        <w:rPr>
          <w:rFonts w:hint="eastAsia"/>
          <w:color w:val="auto"/>
          <w:highlight w:val="none"/>
        </w:rPr>
      </w:pPr>
      <w:r>
        <w:rPr>
          <w:rFonts w:hint="eastAsia"/>
          <w:color w:val="auto"/>
          <w:highlight w:val="none"/>
        </w:rPr>
        <w:t>　周边环境分析宜按下列</w:t>
      </w:r>
      <w:r>
        <w:rPr>
          <w:rFonts w:hint="eastAsia"/>
          <w:color w:val="auto"/>
          <w:highlight w:val="none"/>
          <w:lang w:eastAsia="zh-CN"/>
        </w:rPr>
        <w:t>程序实施</w:t>
      </w:r>
      <w:r>
        <w:rPr>
          <w:rFonts w:hint="eastAsia"/>
          <w:color w:val="auto"/>
          <w:highlight w:val="none"/>
        </w:rPr>
        <w:t>：</w:t>
      </w:r>
    </w:p>
    <w:p w14:paraId="6E946194">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结合周边建构筑物位置关系、商业一体化开发关系等，建立市政地下空间工程周边环境模型；</w:t>
      </w:r>
    </w:p>
    <w:p w14:paraId="4D7062CD">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模型辅助周边环境分析，形成周边环境可视化成果，评估方案的可行性；</w:t>
      </w:r>
    </w:p>
    <w:p w14:paraId="6B8B2C02">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提出调整设计方案的合理化建议，形成周边环境分析报告，辅助确定最终设计方案；</w:t>
      </w:r>
    </w:p>
    <w:p w14:paraId="55244B40">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根据确定的周边环境设计方案调整周边环境模型。</w:t>
      </w:r>
    </w:p>
    <w:p w14:paraId="6C67C045">
      <w:pPr>
        <w:pStyle w:val="4"/>
        <w:rPr>
          <w:rFonts w:hint="eastAsia"/>
          <w:color w:val="auto"/>
          <w:highlight w:val="none"/>
        </w:rPr>
      </w:pPr>
      <w:r>
        <w:rPr>
          <w:rFonts w:hint="eastAsia"/>
          <w:color w:val="auto"/>
          <w:highlight w:val="none"/>
        </w:rPr>
        <w:t>　周边环境分析实施后的成果宜包含下列内容：</w:t>
      </w:r>
    </w:p>
    <w:p w14:paraId="63481817">
      <w:pPr>
        <w:numPr>
          <w:ilvl w:val="0"/>
          <w:numId w:val="1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周边环境模型；</w:t>
      </w:r>
    </w:p>
    <w:p w14:paraId="5FD12277">
      <w:pPr>
        <w:numPr>
          <w:ilvl w:val="0"/>
          <w:numId w:val="1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周边环境可视化成果；</w:t>
      </w:r>
    </w:p>
    <w:p w14:paraId="75240F96">
      <w:pPr>
        <w:numPr>
          <w:ilvl w:val="0"/>
          <w:numId w:val="1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周边环境分析报告。</w:t>
      </w:r>
    </w:p>
    <w:p w14:paraId="0376DDF7">
      <w:pPr>
        <w:pStyle w:val="3"/>
        <w:rPr>
          <w:rFonts w:hint="eastAsia"/>
          <w:color w:val="auto"/>
          <w:highlight w:val="none"/>
        </w:rPr>
      </w:pPr>
      <w:r>
        <w:rPr>
          <w:rFonts w:hint="eastAsia"/>
          <w:color w:val="auto"/>
          <w:highlight w:val="none"/>
        </w:rPr>
        <w:t>　</w:t>
      </w:r>
      <w:bookmarkStart w:id="67" w:name="_Toc1670"/>
      <w:r>
        <w:rPr>
          <w:rFonts w:hint="eastAsia"/>
          <w:color w:val="auto"/>
          <w:highlight w:val="none"/>
        </w:rPr>
        <w:t>方案比选</w:t>
      </w:r>
      <w:bookmarkEnd w:id="67"/>
    </w:p>
    <w:p w14:paraId="022DF293">
      <w:pPr>
        <w:pStyle w:val="4"/>
        <w:numPr>
          <w:ilvl w:val="2"/>
          <w:numId w:val="14"/>
        </w:numPr>
        <w:rPr>
          <w:rFonts w:hint="eastAsia"/>
          <w:color w:val="auto"/>
          <w:highlight w:val="none"/>
        </w:rPr>
      </w:pPr>
      <w:r>
        <w:rPr>
          <w:rFonts w:hint="eastAsia"/>
          <w:color w:val="auto"/>
          <w:highlight w:val="none"/>
        </w:rPr>
        <w:t>　方案比选的基础资料应包含下列主要内容：</w:t>
      </w:r>
    </w:p>
    <w:p w14:paraId="37BF9A77">
      <w:pPr>
        <w:numPr>
          <w:ilvl w:val="0"/>
          <w:numId w:val="1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周边环境模型；</w:t>
      </w:r>
    </w:p>
    <w:p w14:paraId="4C958F63">
      <w:pPr>
        <w:numPr>
          <w:ilvl w:val="0"/>
          <w:numId w:val="1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方案设计模型。</w:t>
      </w:r>
    </w:p>
    <w:p w14:paraId="20AAB6BD">
      <w:pPr>
        <w:pStyle w:val="4"/>
        <w:numPr>
          <w:ilvl w:val="2"/>
          <w:numId w:val="14"/>
        </w:numPr>
        <w:rPr>
          <w:rFonts w:hint="eastAsia"/>
          <w:color w:val="auto"/>
          <w:highlight w:val="none"/>
        </w:rPr>
      </w:pPr>
      <w:r>
        <w:rPr>
          <w:rFonts w:hint="eastAsia"/>
          <w:color w:val="auto"/>
          <w:highlight w:val="none"/>
        </w:rPr>
        <w:t>　方案比选宜按下列</w:t>
      </w:r>
      <w:r>
        <w:rPr>
          <w:rFonts w:hint="eastAsia"/>
          <w:color w:val="auto"/>
          <w:highlight w:val="none"/>
          <w:lang w:eastAsia="zh-CN"/>
        </w:rPr>
        <w:t>程序实施</w:t>
      </w:r>
      <w:r>
        <w:rPr>
          <w:rFonts w:hint="eastAsia"/>
          <w:color w:val="auto"/>
          <w:highlight w:val="none"/>
        </w:rPr>
        <w:t>：</w:t>
      </w:r>
    </w:p>
    <w:p w14:paraId="5031281B">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根据多个备选方案建立方案比选模型，并整合方案设计模型与周边环境模型，形成景观效果展示模型；</w:t>
      </w:r>
    </w:p>
    <w:p w14:paraId="08DC7D89">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将方案比选模型导入模型应用软件，进行仿真模拟和漫游，形成方案展示可视化成果；</w:t>
      </w:r>
    </w:p>
    <w:p w14:paraId="0DC8AF90">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利用方案比选模型和方案展示可视化成果，辅助方案比选，对多个备选方案模型的可行性、功能性、美观性等多方面进行对比，形成方案比选报告，选择最优设计方案；</w:t>
      </w:r>
    </w:p>
    <w:p w14:paraId="6703E307">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形成最终设计方案模型。</w:t>
      </w:r>
    </w:p>
    <w:p w14:paraId="1B297AD5">
      <w:pPr>
        <w:pStyle w:val="4"/>
        <w:numPr>
          <w:ilvl w:val="2"/>
          <w:numId w:val="14"/>
        </w:numPr>
        <w:rPr>
          <w:rFonts w:hint="eastAsia"/>
          <w:color w:val="auto"/>
          <w:highlight w:val="none"/>
        </w:rPr>
      </w:pPr>
      <w:r>
        <w:rPr>
          <w:rFonts w:hint="eastAsia"/>
          <w:color w:val="auto"/>
          <w:highlight w:val="none"/>
        </w:rPr>
        <w:t>　方案比选实施后的成果宜包含下列内容：</w:t>
      </w:r>
    </w:p>
    <w:p w14:paraId="2159F773">
      <w:pPr>
        <w:numPr>
          <w:ilvl w:val="0"/>
          <w:numId w:val="1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方案比选模型与景观效果展示模型；</w:t>
      </w:r>
    </w:p>
    <w:p w14:paraId="1376C7DA">
      <w:pPr>
        <w:numPr>
          <w:ilvl w:val="0"/>
          <w:numId w:val="1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方案展示可视化成果；</w:t>
      </w:r>
    </w:p>
    <w:p w14:paraId="4EDDBE33">
      <w:pPr>
        <w:numPr>
          <w:ilvl w:val="0"/>
          <w:numId w:val="1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方案比选报告。</w:t>
      </w:r>
    </w:p>
    <w:p w14:paraId="32BEF292">
      <w:pPr>
        <w:ind w:firstLine="420"/>
        <w:rPr>
          <w:color w:val="auto"/>
          <w:highlight w:val="none"/>
        </w:rPr>
      </w:pPr>
    </w:p>
    <w:p w14:paraId="626C9FDB">
      <w:pPr>
        <w:ind w:firstLine="420"/>
        <w:rPr>
          <w:color w:val="auto"/>
          <w:highlight w:val="none"/>
        </w:rPr>
      </w:pPr>
      <w:r>
        <w:rPr>
          <w:rFonts w:hint="eastAsia"/>
          <w:color w:val="auto"/>
          <w:highlight w:val="none"/>
        </w:rPr>
        <w:br w:type="page"/>
      </w:r>
    </w:p>
    <w:p w14:paraId="7C3D8612">
      <w:pPr>
        <w:pStyle w:val="2"/>
        <w:keepNext w:val="0"/>
        <w:keepLines w:val="0"/>
        <w:numPr>
          <w:ilvl w:val="0"/>
          <w:numId w:val="14"/>
        </w:numPr>
        <w:ind w:left="0"/>
        <w:rPr>
          <w:rFonts w:hint="eastAsia"/>
          <w:color w:val="auto"/>
          <w:highlight w:val="none"/>
        </w:rPr>
      </w:pPr>
      <w:r>
        <w:rPr>
          <w:rFonts w:hint="eastAsia"/>
          <w:color w:val="auto"/>
          <w:highlight w:val="none"/>
        </w:rPr>
        <w:t>　</w:t>
      </w:r>
      <w:bookmarkStart w:id="68" w:name="_Toc13493"/>
      <w:bookmarkStart w:id="69" w:name="_Toc17022"/>
      <w:bookmarkStart w:id="70" w:name="_Toc26859"/>
      <w:bookmarkStart w:id="71" w:name="_Toc113"/>
      <w:bookmarkStart w:id="72" w:name="_Toc1871"/>
      <w:bookmarkStart w:id="73" w:name="_Toc27312"/>
      <w:bookmarkStart w:id="74" w:name="_Toc28590"/>
      <w:bookmarkStart w:id="75" w:name="_Toc8112"/>
      <w:r>
        <w:rPr>
          <w:rFonts w:hint="eastAsia"/>
          <w:color w:val="auto"/>
          <w:highlight w:val="none"/>
        </w:rPr>
        <w:t>初步设计阶段</w:t>
      </w:r>
      <w:bookmarkEnd w:id="68"/>
      <w:bookmarkEnd w:id="69"/>
      <w:bookmarkEnd w:id="70"/>
      <w:bookmarkEnd w:id="71"/>
      <w:bookmarkEnd w:id="72"/>
      <w:bookmarkEnd w:id="73"/>
      <w:bookmarkEnd w:id="74"/>
      <w:bookmarkEnd w:id="75"/>
    </w:p>
    <w:p w14:paraId="5F4D67DC">
      <w:pPr>
        <w:pStyle w:val="3"/>
        <w:keepNext w:val="0"/>
        <w:keepLines w:val="0"/>
        <w:numPr>
          <w:ilvl w:val="1"/>
          <w:numId w:val="14"/>
        </w:numPr>
        <w:rPr>
          <w:rFonts w:hint="eastAsia"/>
          <w:color w:val="auto"/>
          <w:highlight w:val="none"/>
        </w:rPr>
      </w:pPr>
      <w:r>
        <w:rPr>
          <w:rFonts w:hint="eastAsia"/>
          <w:color w:val="auto"/>
          <w:highlight w:val="none"/>
        </w:rPr>
        <w:t>　</w:t>
      </w:r>
      <w:bookmarkStart w:id="76" w:name="_Toc28945"/>
      <w:r>
        <w:rPr>
          <w:rFonts w:hint="eastAsia"/>
          <w:color w:val="auto"/>
          <w:highlight w:val="none"/>
        </w:rPr>
        <w:t>一般规定</w:t>
      </w:r>
      <w:bookmarkEnd w:id="76"/>
    </w:p>
    <w:p w14:paraId="37963E8F">
      <w:pPr>
        <w:pStyle w:val="4"/>
        <w:numPr>
          <w:ilvl w:val="2"/>
          <w:numId w:val="14"/>
        </w:numPr>
        <w:spacing w:line="360" w:lineRule="auto"/>
        <w:rPr>
          <w:rFonts w:hint="eastAsia"/>
          <w:bCs w:val="0"/>
          <w:color w:val="auto"/>
          <w:highlight w:val="none"/>
        </w:rPr>
      </w:pPr>
      <w:r>
        <w:rPr>
          <w:rFonts w:hint="eastAsia"/>
          <w:color w:val="auto"/>
          <w:highlight w:val="none"/>
        </w:rPr>
        <w:t>　市政地下空间工程在初步设计阶段的主要应用内容宜根据工程实际需求实施控制因素分析、交通疏解模拟、管线迁改模拟、设计方案深化等应用点。</w:t>
      </w:r>
    </w:p>
    <w:p w14:paraId="19EAD369">
      <w:pPr>
        <w:pStyle w:val="4"/>
        <w:numPr>
          <w:ilvl w:val="2"/>
          <w:numId w:val="14"/>
        </w:numPr>
        <w:spacing w:line="360" w:lineRule="auto"/>
        <w:rPr>
          <w:rFonts w:hint="eastAsia"/>
          <w:color w:val="auto"/>
          <w:highlight w:val="none"/>
        </w:rPr>
      </w:pPr>
      <w:r>
        <w:rPr>
          <w:rFonts w:hint="eastAsia"/>
          <w:color w:val="auto"/>
          <w:highlight w:val="none"/>
        </w:rPr>
        <w:t>　初步设计</w:t>
      </w:r>
      <w:r>
        <w:rPr>
          <w:rFonts w:hint="eastAsia"/>
          <w:color w:val="auto"/>
          <w:highlight w:val="none"/>
          <w:lang w:eastAsia="zh-Hans"/>
        </w:rPr>
        <w:t>阶段应结合</w:t>
      </w:r>
      <w:r>
        <w:rPr>
          <w:rFonts w:hint="eastAsia"/>
          <w:color w:val="auto"/>
          <w:highlight w:val="none"/>
        </w:rPr>
        <w:t>初步设计</w:t>
      </w:r>
      <w:r>
        <w:rPr>
          <w:rFonts w:hint="eastAsia"/>
          <w:color w:val="auto"/>
          <w:highlight w:val="none"/>
          <w:lang w:eastAsia="zh-Hans"/>
        </w:rPr>
        <w:t>等基础资料，拆分、细化</w:t>
      </w:r>
      <w:r>
        <w:rPr>
          <w:rFonts w:hint="eastAsia"/>
          <w:color w:val="auto"/>
          <w:highlight w:val="none"/>
        </w:rPr>
        <w:t>可行性研究</w:t>
      </w:r>
      <w:r>
        <w:rPr>
          <w:rFonts w:hint="eastAsia"/>
          <w:color w:val="auto"/>
          <w:highlight w:val="none"/>
          <w:lang w:eastAsia="zh-Hans"/>
        </w:rPr>
        <w:t>模型，建立</w:t>
      </w:r>
      <w:r>
        <w:rPr>
          <w:rFonts w:hint="eastAsia"/>
          <w:color w:val="auto"/>
          <w:highlight w:val="none"/>
        </w:rPr>
        <w:t>初步设计</w:t>
      </w:r>
      <w:r>
        <w:rPr>
          <w:rFonts w:hint="eastAsia"/>
          <w:color w:val="auto"/>
          <w:highlight w:val="none"/>
          <w:lang w:eastAsia="zh-Hans"/>
        </w:rPr>
        <w:t>模型，应表达建筑、结构及机电等各专业的</w:t>
      </w:r>
      <w:r>
        <w:rPr>
          <w:rFonts w:hint="eastAsia"/>
          <w:color w:val="auto"/>
          <w:highlight w:val="none"/>
        </w:rPr>
        <w:t>初步设计</w:t>
      </w:r>
      <w:r>
        <w:rPr>
          <w:rFonts w:hint="eastAsia"/>
          <w:color w:val="auto"/>
          <w:highlight w:val="none"/>
          <w:lang w:eastAsia="zh-Hans"/>
        </w:rPr>
        <w:t>方案。</w:t>
      </w:r>
    </w:p>
    <w:p w14:paraId="60BD265B">
      <w:pPr>
        <w:pStyle w:val="4"/>
        <w:numPr>
          <w:ilvl w:val="2"/>
          <w:numId w:val="14"/>
        </w:numPr>
        <w:spacing w:line="360" w:lineRule="auto"/>
        <w:rPr>
          <w:rFonts w:hint="eastAsia"/>
          <w:color w:val="auto"/>
          <w:highlight w:val="none"/>
        </w:rPr>
      </w:pPr>
      <w:r>
        <w:rPr>
          <w:rFonts w:hint="eastAsia"/>
          <w:color w:val="auto"/>
          <w:highlight w:val="none"/>
        </w:rPr>
        <w:t>　初步设计阶段应以初步设计模型为基础，并根据各应用点的需求，</w:t>
      </w:r>
      <w:r>
        <w:rPr>
          <w:rFonts w:hint="eastAsia"/>
          <w:color w:val="auto"/>
          <w:highlight w:val="none"/>
          <w:lang w:val="en-US" w:eastAsia="zh-CN"/>
        </w:rPr>
        <w:t>结合</w:t>
      </w:r>
      <w:r>
        <w:rPr>
          <w:rFonts w:hint="eastAsia"/>
          <w:color w:val="auto"/>
          <w:highlight w:val="none"/>
        </w:rPr>
        <w:t>相关工程资料，形成控制因素分析模型、交通疏解模型、管线迁改模型、设计方案深化模型等。</w:t>
      </w:r>
    </w:p>
    <w:p w14:paraId="6BFB8C8E">
      <w:pPr>
        <w:pStyle w:val="3"/>
        <w:numPr>
          <w:ilvl w:val="1"/>
          <w:numId w:val="14"/>
        </w:numPr>
        <w:rPr>
          <w:rFonts w:hint="eastAsia"/>
          <w:color w:val="auto"/>
          <w:highlight w:val="none"/>
        </w:rPr>
      </w:pPr>
      <w:r>
        <w:rPr>
          <w:rFonts w:hint="eastAsia"/>
          <w:color w:val="auto"/>
          <w:highlight w:val="none"/>
        </w:rPr>
        <w:t>　</w:t>
      </w:r>
      <w:bookmarkStart w:id="77" w:name="_Toc31746"/>
      <w:r>
        <w:rPr>
          <w:rFonts w:hint="eastAsia" w:ascii="黑体" w:hAnsi="黑体"/>
          <w:color w:val="auto"/>
          <w:highlight w:val="none"/>
        </w:rPr>
        <w:t>控制因素分析</w:t>
      </w:r>
      <w:bookmarkEnd w:id="77"/>
    </w:p>
    <w:p w14:paraId="2C4C0E36">
      <w:pPr>
        <w:pStyle w:val="4"/>
        <w:numPr>
          <w:ilvl w:val="2"/>
          <w:numId w:val="14"/>
        </w:numPr>
        <w:rPr>
          <w:rFonts w:hint="eastAsia"/>
          <w:color w:val="auto"/>
          <w:highlight w:val="none"/>
        </w:rPr>
      </w:pPr>
      <w:r>
        <w:rPr>
          <w:rFonts w:hint="eastAsia"/>
          <w:color w:val="auto"/>
          <w:highlight w:val="none"/>
        </w:rPr>
        <w:t>　控制因素分析的基础资料应包含下列主要内容：</w:t>
      </w:r>
    </w:p>
    <w:p w14:paraId="7CC9F35F">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周边环境模型、初步设计模型、交通疏解模型、管线迁改模型；</w:t>
      </w:r>
    </w:p>
    <w:p w14:paraId="6A8A87D5">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、工程水文资料、规划文件、建设地块信息、施工范围信息；</w:t>
      </w:r>
    </w:p>
    <w:p w14:paraId="5F89EE30">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地理信息数据；</w:t>
      </w:r>
    </w:p>
    <w:p w14:paraId="49839249">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环境影响评价、安全评价资料。</w:t>
      </w:r>
    </w:p>
    <w:p w14:paraId="578FD51B">
      <w:pPr>
        <w:pStyle w:val="4"/>
        <w:numPr>
          <w:ilvl w:val="2"/>
          <w:numId w:val="14"/>
        </w:numPr>
        <w:rPr>
          <w:rFonts w:hint="eastAsia"/>
          <w:color w:val="auto"/>
          <w:highlight w:val="none"/>
        </w:rPr>
      </w:pPr>
      <w:r>
        <w:rPr>
          <w:rFonts w:hint="eastAsia"/>
          <w:color w:val="auto"/>
          <w:highlight w:val="none"/>
        </w:rPr>
        <w:t>　控制因素分析宜按下列程序实施：</w:t>
      </w:r>
    </w:p>
    <w:p w14:paraId="43EF5DCD">
      <w:pPr>
        <w:numPr>
          <w:ilvl w:val="0"/>
          <w:numId w:val="1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基于基础资料建立控制因素分析模型；</w:t>
      </w:r>
    </w:p>
    <w:p w14:paraId="50EE5804">
      <w:pPr>
        <w:numPr>
          <w:ilvl w:val="0"/>
          <w:numId w:val="1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将控制因素分析模型导入模型应用软件，进行仿真模拟和漫游，辅助核查控制因素执行情况；</w:t>
      </w:r>
    </w:p>
    <w:p w14:paraId="62B3636C">
      <w:pPr>
        <w:numPr>
          <w:ilvl w:val="0"/>
          <w:numId w:val="1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形成控制因素分析报告及模拟视频。</w:t>
      </w:r>
    </w:p>
    <w:p w14:paraId="16FA1B80">
      <w:pPr>
        <w:pStyle w:val="4"/>
        <w:numPr>
          <w:ilvl w:val="2"/>
          <w:numId w:val="14"/>
        </w:numPr>
        <w:rPr>
          <w:rFonts w:hint="eastAsia"/>
          <w:color w:val="auto"/>
          <w:highlight w:val="none"/>
        </w:rPr>
      </w:pPr>
      <w:r>
        <w:rPr>
          <w:rFonts w:hint="eastAsia"/>
          <w:color w:val="auto"/>
          <w:highlight w:val="none"/>
        </w:rPr>
        <w:t>　控制因素分析实施后的成果宜包含下列内容：</w:t>
      </w:r>
    </w:p>
    <w:p w14:paraId="13FDBB3E">
      <w:pPr>
        <w:numPr>
          <w:ilvl w:val="0"/>
          <w:numId w:val="2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控制因素分析模型；</w:t>
      </w:r>
    </w:p>
    <w:p w14:paraId="080506C7">
      <w:pPr>
        <w:numPr>
          <w:ilvl w:val="0"/>
          <w:numId w:val="2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控制因素分析报告。</w:t>
      </w:r>
    </w:p>
    <w:p w14:paraId="5584FA33">
      <w:pPr>
        <w:ind w:firstLine="420"/>
        <w:rPr>
          <w:color w:val="auto"/>
          <w:highlight w:val="none"/>
        </w:rPr>
      </w:pPr>
    </w:p>
    <w:p w14:paraId="697F5708">
      <w:pPr>
        <w:pStyle w:val="3"/>
        <w:keepNext w:val="0"/>
        <w:keepLines w:val="0"/>
        <w:numPr>
          <w:ilvl w:val="1"/>
          <w:numId w:val="14"/>
        </w:numPr>
        <w:rPr>
          <w:rFonts w:hint="eastAsia"/>
          <w:color w:val="auto"/>
          <w:highlight w:val="none"/>
        </w:rPr>
      </w:pPr>
      <w:r>
        <w:rPr>
          <w:rFonts w:hint="eastAsia"/>
          <w:color w:val="auto"/>
          <w:highlight w:val="none"/>
        </w:rPr>
        <w:t>　</w:t>
      </w:r>
      <w:bookmarkStart w:id="78" w:name="_Toc7389"/>
      <w:r>
        <w:rPr>
          <w:rFonts w:hint="eastAsia" w:ascii="黑体" w:hAnsi="黑体"/>
          <w:color w:val="auto"/>
          <w:highlight w:val="none"/>
        </w:rPr>
        <w:t>交通疏解模拟</w:t>
      </w:r>
      <w:bookmarkEnd w:id="78"/>
    </w:p>
    <w:p w14:paraId="553ACC4F">
      <w:pPr>
        <w:pStyle w:val="4"/>
        <w:numPr>
          <w:ilvl w:val="2"/>
          <w:numId w:val="14"/>
        </w:numPr>
        <w:rPr>
          <w:rFonts w:hint="eastAsia"/>
          <w:color w:val="auto"/>
          <w:highlight w:val="none"/>
        </w:rPr>
      </w:pPr>
      <w:r>
        <w:rPr>
          <w:rFonts w:hint="eastAsia"/>
          <w:color w:val="auto"/>
          <w:highlight w:val="none"/>
        </w:rPr>
        <w:t>　交通疏解模拟所需的基础资料宜包含下列主要内容：</w:t>
      </w:r>
    </w:p>
    <w:p w14:paraId="4BBCDCF2">
      <w:pPr>
        <w:numPr>
          <w:ilvl w:val="0"/>
          <w:numId w:val="21"/>
        </w:numPr>
        <w:ind w:firstLine="420"/>
        <w:rPr>
          <w:rFonts w:hint="eastAsia" w:ascii="宋体" w:hAnsi="宋体" w:eastAsia="宋体"/>
          <w:bCs/>
          <w:color w:val="auto"/>
          <w:szCs w:val="32"/>
          <w:highlight w:val="none"/>
        </w:rPr>
      </w:pPr>
      <w:r>
        <w:rPr>
          <w:rFonts w:hint="eastAsia"/>
          <w:color w:val="auto"/>
          <w:highlight w:val="none"/>
        </w:rPr>
        <w:t>设计道路、周边道路现有交通组织方式</w:t>
      </w:r>
      <w:r>
        <w:rPr>
          <w:rFonts w:hint="eastAsia" w:ascii="宋体" w:hAnsi="宋体" w:eastAsia="宋体"/>
          <w:bCs/>
          <w:color w:val="auto"/>
          <w:szCs w:val="32"/>
          <w:highlight w:val="none"/>
        </w:rPr>
        <w:t>；</w:t>
      </w:r>
    </w:p>
    <w:p w14:paraId="27751F7C">
      <w:pPr>
        <w:numPr>
          <w:ilvl w:val="0"/>
          <w:numId w:val="21"/>
        </w:numPr>
        <w:ind w:firstLine="420"/>
        <w:rPr>
          <w:rFonts w:hint="eastAsia" w:ascii="宋体" w:hAnsi="宋体" w:eastAsia="宋体"/>
          <w:bCs/>
          <w:color w:val="auto"/>
          <w:szCs w:val="32"/>
          <w:highlight w:val="none"/>
        </w:rPr>
      </w:pPr>
      <w:r>
        <w:rPr>
          <w:rFonts w:hint="eastAsia"/>
          <w:color w:val="auto"/>
          <w:highlight w:val="none"/>
        </w:rPr>
        <w:t>设计道路、周边道路交通流量数据；</w:t>
      </w:r>
    </w:p>
    <w:p w14:paraId="53459D48">
      <w:pPr>
        <w:numPr>
          <w:ilvl w:val="0"/>
          <w:numId w:val="2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控制因素分析模型。</w:t>
      </w:r>
    </w:p>
    <w:p w14:paraId="30AFA6B4">
      <w:pPr>
        <w:pStyle w:val="4"/>
        <w:numPr>
          <w:ilvl w:val="2"/>
          <w:numId w:val="14"/>
        </w:numPr>
        <w:rPr>
          <w:rFonts w:hint="eastAsia"/>
          <w:color w:val="auto"/>
          <w:highlight w:val="none"/>
        </w:rPr>
      </w:pPr>
      <w:r>
        <w:rPr>
          <w:rFonts w:hint="eastAsia"/>
          <w:color w:val="auto"/>
          <w:highlight w:val="none"/>
        </w:rPr>
        <w:t>　交通疏解模拟宜按下列程序实施：</w:t>
      </w:r>
    </w:p>
    <w:p w14:paraId="5D9B0F2C">
      <w:pPr>
        <w:numPr>
          <w:ilvl w:val="0"/>
          <w:numId w:val="2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依据收集的数据资料确定交通疏解方案；</w:t>
      </w:r>
    </w:p>
    <w:p w14:paraId="20A1E546">
      <w:pPr>
        <w:numPr>
          <w:ilvl w:val="0"/>
          <w:numId w:val="2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依据交通疏解方案形成交通疏解模型；</w:t>
      </w:r>
    </w:p>
    <w:p w14:paraId="7DE5838B">
      <w:pPr>
        <w:numPr>
          <w:ilvl w:val="0"/>
          <w:numId w:val="2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将交通疏解模型导入模型应用软件，形成交通疏解模拟视频。</w:t>
      </w:r>
    </w:p>
    <w:p w14:paraId="68F478E2">
      <w:pPr>
        <w:pStyle w:val="4"/>
        <w:numPr>
          <w:ilvl w:val="2"/>
          <w:numId w:val="14"/>
        </w:numPr>
        <w:rPr>
          <w:rFonts w:hint="eastAsia"/>
          <w:color w:val="auto"/>
          <w:highlight w:val="none"/>
        </w:rPr>
      </w:pPr>
      <w:r>
        <w:rPr>
          <w:rFonts w:hint="eastAsia"/>
          <w:color w:val="auto"/>
          <w:highlight w:val="none"/>
        </w:rPr>
        <w:t>　交通疏解模拟实施后的成果宜包含下列内容：</w:t>
      </w:r>
    </w:p>
    <w:p w14:paraId="05CE6D04">
      <w:pPr>
        <w:numPr>
          <w:ilvl w:val="0"/>
          <w:numId w:val="2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交通疏解方案；</w:t>
      </w:r>
    </w:p>
    <w:p w14:paraId="5B38F00B">
      <w:pPr>
        <w:numPr>
          <w:ilvl w:val="0"/>
          <w:numId w:val="2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交通疏解模型；</w:t>
      </w:r>
    </w:p>
    <w:p w14:paraId="325DBBAD">
      <w:pPr>
        <w:numPr>
          <w:ilvl w:val="0"/>
          <w:numId w:val="2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交通疏解模拟视频。</w:t>
      </w:r>
    </w:p>
    <w:p w14:paraId="50F5A1FB">
      <w:pPr>
        <w:pStyle w:val="3"/>
        <w:numPr>
          <w:ilvl w:val="1"/>
          <w:numId w:val="14"/>
        </w:numPr>
        <w:rPr>
          <w:rFonts w:hint="eastAsia"/>
          <w:color w:val="auto"/>
          <w:highlight w:val="none"/>
        </w:rPr>
      </w:pPr>
      <w:r>
        <w:rPr>
          <w:rFonts w:hint="eastAsia"/>
          <w:color w:val="auto"/>
          <w:highlight w:val="none"/>
        </w:rPr>
        <w:t>　</w:t>
      </w:r>
      <w:bookmarkStart w:id="79" w:name="_Toc24950"/>
      <w:bookmarkStart w:id="80" w:name="_Toc15453"/>
      <w:bookmarkStart w:id="81" w:name="_Toc9672"/>
      <w:bookmarkStart w:id="82" w:name="_Toc8414"/>
      <w:bookmarkStart w:id="83" w:name="_Toc9354"/>
      <w:bookmarkStart w:id="84" w:name="_Toc5413"/>
      <w:bookmarkStart w:id="85" w:name="_Toc15346"/>
      <w:bookmarkStart w:id="86" w:name="_Toc15239"/>
      <w:bookmarkStart w:id="87" w:name="_Toc6144"/>
      <w:r>
        <w:rPr>
          <w:rFonts w:hint="eastAsia" w:ascii="黑体" w:hAnsi="黑体"/>
          <w:color w:val="auto"/>
          <w:highlight w:val="none"/>
        </w:rPr>
        <w:t>管线迁改模拟</w:t>
      </w:r>
      <w:bookmarkEnd w:id="79"/>
      <w:bookmarkEnd w:id="80"/>
      <w:bookmarkEnd w:id="81"/>
      <w:bookmarkEnd w:id="82"/>
      <w:bookmarkEnd w:id="83"/>
      <w:bookmarkEnd w:id="84"/>
      <w:bookmarkEnd w:id="85"/>
      <w:bookmarkEnd w:id="86"/>
      <w:bookmarkEnd w:id="87"/>
    </w:p>
    <w:p w14:paraId="7A53F49E">
      <w:pPr>
        <w:pStyle w:val="4"/>
        <w:numPr>
          <w:ilvl w:val="2"/>
          <w:numId w:val="14"/>
        </w:numPr>
        <w:rPr>
          <w:rFonts w:hint="eastAsia"/>
          <w:color w:val="auto"/>
          <w:highlight w:val="none"/>
        </w:rPr>
      </w:pPr>
      <w:r>
        <w:rPr>
          <w:rFonts w:hint="eastAsia"/>
          <w:color w:val="auto"/>
          <w:highlight w:val="none"/>
        </w:rPr>
        <w:t>　管线迁改模拟所需的基础资料宜包含下列主要内容：</w:t>
      </w:r>
    </w:p>
    <w:p w14:paraId="01DC5AD2">
      <w:pPr>
        <w:numPr>
          <w:ilvl w:val="0"/>
          <w:numId w:val="24"/>
        </w:numPr>
        <w:ind w:firstLine="420"/>
        <w:rPr>
          <w:rFonts w:hint="eastAsia" w:ascii="宋体" w:hAnsi="宋体" w:eastAsia="宋体"/>
          <w:bCs/>
          <w:color w:val="auto"/>
          <w:szCs w:val="32"/>
          <w:highlight w:val="none"/>
        </w:rPr>
      </w:pPr>
      <w:r>
        <w:rPr>
          <w:rFonts w:hint="eastAsia"/>
          <w:color w:val="auto"/>
          <w:highlight w:val="none"/>
        </w:rPr>
        <w:t>现状地下管线、现状架空管线、地下障碍物探查成果报告</w:t>
      </w:r>
      <w:r>
        <w:rPr>
          <w:rFonts w:hint="eastAsia" w:ascii="宋体" w:hAnsi="宋体" w:eastAsia="宋体"/>
          <w:bCs/>
          <w:color w:val="auto"/>
          <w:szCs w:val="32"/>
          <w:highlight w:val="none"/>
        </w:rPr>
        <w:t>；</w:t>
      </w:r>
    </w:p>
    <w:p w14:paraId="7D94E2DB">
      <w:pPr>
        <w:numPr>
          <w:ilvl w:val="0"/>
          <w:numId w:val="24"/>
        </w:numPr>
        <w:ind w:firstLine="420"/>
        <w:rPr>
          <w:rFonts w:hint="eastAsia" w:ascii="宋体" w:hAnsi="宋体" w:eastAsia="宋体"/>
          <w:bCs/>
          <w:color w:val="auto"/>
          <w:szCs w:val="32"/>
          <w:highlight w:val="none"/>
        </w:rPr>
      </w:pPr>
      <w:r>
        <w:rPr>
          <w:rFonts w:hint="eastAsia"/>
          <w:color w:val="auto"/>
          <w:highlight w:val="none"/>
        </w:rPr>
        <w:t>地下空间</w:t>
      </w:r>
      <w:r>
        <w:rPr>
          <w:rFonts w:hint="eastAsia" w:ascii="宋体" w:hAnsi="宋体" w:eastAsia="宋体"/>
          <w:bCs/>
          <w:color w:val="auto"/>
          <w:szCs w:val="32"/>
          <w:highlight w:val="none"/>
        </w:rPr>
        <w:t>建、构筑物</w:t>
      </w:r>
      <w:r>
        <w:rPr>
          <w:rFonts w:hint="eastAsia"/>
          <w:color w:val="auto"/>
          <w:highlight w:val="none"/>
        </w:rPr>
        <w:t>分期实施方案</w:t>
      </w:r>
      <w:r>
        <w:rPr>
          <w:rFonts w:hint="eastAsia" w:ascii="宋体" w:hAnsi="宋体" w:eastAsia="宋体"/>
          <w:bCs/>
          <w:color w:val="auto"/>
          <w:szCs w:val="32"/>
          <w:highlight w:val="none"/>
        </w:rPr>
        <w:t>；</w:t>
      </w:r>
    </w:p>
    <w:p w14:paraId="53CFF115">
      <w:pPr>
        <w:numPr>
          <w:ilvl w:val="0"/>
          <w:numId w:val="24"/>
        </w:numPr>
        <w:ind w:firstLine="420"/>
        <w:rPr>
          <w:rFonts w:hint="eastAsia" w:ascii="宋体" w:hAnsi="宋体" w:eastAsia="宋体"/>
          <w:bCs/>
          <w:color w:val="auto"/>
          <w:szCs w:val="32"/>
          <w:highlight w:val="none"/>
        </w:rPr>
      </w:pPr>
      <w:r>
        <w:rPr>
          <w:rFonts w:hint="eastAsia"/>
          <w:color w:val="auto"/>
          <w:highlight w:val="none"/>
        </w:rPr>
        <w:t>管线迁改方案</w:t>
      </w:r>
      <w:r>
        <w:rPr>
          <w:rFonts w:hint="eastAsia" w:ascii="宋体" w:hAnsi="宋体" w:eastAsia="宋体"/>
          <w:bCs/>
          <w:color w:val="auto"/>
          <w:szCs w:val="32"/>
          <w:highlight w:val="none"/>
        </w:rPr>
        <w:t>。</w:t>
      </w:r>
    </w:p>
    <w:p w14:paraId="6B609768">
      <w:pPr>
        <w:pStyle w:val="4"/>
        <w:numPr>
          <w:ilvl w:val="2"/>
          <w:numId w:val="14"/>
        </w:numPr>
        <w:rPr>
          <w:rFonts w:hint="eastAsia"/>
          <w:color w:val="auto"/>
          <w:highlight w:val="none"/>
        </w:rPr>
      </w:pPr>
      <w:r>
        <w:rPr>
          <w:rFonts w:hint="eastAsia"/>
          <w:color w:val="auto"/>
          <w:highlight w:val="none"/>
        </w:rPr>
        <w:t>　管线迁改模拟宜按下列</w:t>
      </w:r>
      <w:r>
        <w:rPr>
          <w:rFonts w:hint="eastAsia"/>
          <w:color w:val="auto"/>
          <w:highlight w:val="none"/>
          <w:lang w:eastAsia="zh-CN"/>
        </w:rPr>
        <w:t>程序实施</w:t>
      </w:r>
      <w:r>
        <w:rPr>
          <w:rFonts w:hint="eastAsia"/>
          <w:color w:val="auto"/>
          <w:highlight w:val="none"/>
        </w:rPr>
        <w:t>：</w:t>
      </w:r>
    </w:p>
    <w:p w14:paraId="739D5662">
      <w:pPr>
        <w:numPr>
          <w:ilvl w:val="0"/>
          <w:numId w:val="2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梳理现状地下管线、现状架空管线资料，建立现状管线模型；</w:t>
      </w:r>
    </w:p>
    <w:p w14:paraId="7607D320">
      <w:pPr>
        <w:numPr>
          <w:ilvl w:val="0"/>
          <w:numId w:val="2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依据地下空间建、构筑物分期实施方案制定管线迁改方案；</w:t>
      </w:r>
    </w:p>
    <w:p w14:paraId="253B77A0">
      <w:pPr>
        <w:numPr>
          <w:ilvl w:val="0"/>
          <w:numId w:val="2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依据管线迁改方案建立管线迁改模型。</w:t>
      </w:r>
    </w:p>
    <w:p w14:paraId="7568F87C">
      <w:pPr>
        <w:pStyle w:val="4"/>
        <w:numPr>
          <w:ilvl w:val="2"/>
          <w:numId w:val="14"/>
        </w:numPr>
        <w:rPr>
          <w:rFonts w:hint="eastAsia"/>
          <w:color w:val="auto"/>
          <w:highlight w:val="none"/>
        </w:rPr>
      </w:pPr>
      <w:r>
        <w:rPr>
          <w:rFonts w:hint="eastAsia"/>
          <w:color w:val="auto"/>
          <w:highlight w:val="none"/>
        </w:rPr>
        <w:t>　管线迁改模拟实施后的成果宜包含下列内容：</w:t>
      </w:r>
    </w:p>
    <w:p w14:paraId="57119233">
      <w:pPr>
        <w:numPr>
          <w:ilvl w:val="0"/>
          <w:numId w:val="2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现状管线模型；</w:t>
      </w:r>
    </w:p>
    <w:p w14:paraId="582290C2">
      <w:pPr>
        <w:numPr>
          <w:ilvl w:val="0"/>
          <w:numId w:val="2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管线迁改模型；</w:t>
      </w:r>
    </w:p>
    <w:p w14:paraId="41184156">
      <w:pPr>
        <w:numPr>
          <w:ilvl w:val="0"/>
          <w:numId w:val="2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管线迁改方案报告。</w:t>
      </w:r>
    </w:p>
    <w:p w14:paraId="5A8F586E">
      <w:pPr>
        <w:pStyle w:val="3"/>
        <w:numPr>
          <w:ilvl w:val="1"/>
          <w:numId w:val="14"/>
        </w:numPr>
        <w:rPr>
          <w:rFonts w:hint="eastAsia"/>
          <w:color w:val="auto"/>
          <w:highlight w:val="none"/>
        </w:rPr>
      </w:pPr>
      <w:r>
        <w:rPr>
          <w:rFonts w:hint="eastAsia"/>
          <w:color w:val="auto"/>
          <w:highlight w:val="none"/>
        </w:rPr>
        <w:t>　</w:t>
      </w:r>
      <w:bookmarkStart w:id="88" w:name="_Toc28398"/>
      <w:bookmarkStart w:id="89" w:name="_Toc31134"/>
      <w:bookmarkStart w:id="90" w:name="_Toc31686"/>
      <w:bookmarkStart w:id="91" w:name="_Toc7169"/>
      <w:bookmarkStart w:id="92" w:name="_Toc10650"/>
      <w:bookmarkStart w:id="93" w:name="_Toc30725"/>
      <w:bookmarkStart w:id="94" w:name="_Toc12060"/>
      <w:bookmarkStart w:id="95" w:name="_Toc6560"/>
      <w:bookmarkStart w:id="96" w:name="_Toc7710"/>
      <w:r>
        <w:rPr>
          <w:rFonts w:hint="eastAsia"/>
          <w:color w:val="auto"/>
          <w:highlight w:val="none"/>
        </w:rPr>
        <w:t>设计方案深化</w:t>
      </w:r>
      <w:bookmarkEnd w:id="88"/>
      <w:bookmarkEnd w:id="89"/>
      <w:bookmarkEnd w:id="90"/>
      <w:bookmarkEnd w:id="91"/>
      <w:bookmarkEnd w:id="92"/>
      <w:bookmarkEnd w:id="93"/>
      <w:bookmarkEnd w:id="94"/>
      <w:bookmarkEnd w:id="95"/>
      <w:bookmarkEnd w:id="96"/>
    </w:p>
    <w:p w14:paraId="48406C25">
      <w:pPr>
        <w:pStyle w:val="4"/>
        <w:numPr>
          <w:ilvl w:val="2"/>
          <w:numId w:val="14"/>
        </w:numPr>
        <w:rPr>
          <w:rFonts w:hint="eastAsia"/>
          <w:color w:val="auto"/>
          <w:highlight w:val="none"/>
        </w:rPr>
      </w:pPr>
      <w:r>
        <w:rPr>
          <w:rFonts w:hint="eastAsia"/>
          <w:color w:val="auto"/>
          <w:highlight w:val="none"/>
        </w:rPr>
        <w:t>　设计方案深化的基础资料应包含下列主要内容：</w:t>
      </w:r>
    </w:p>
    <w:p w14:paraId="6A81AEC4">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项目的规模、功能、地理位置等工程概况基本信息；</w:t>
      </w:r>
    </w:p>
    <w:p w14:paraId="0C1A818E">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法律法规、标准规范、技术文件等相关设计依据；</w:t>
      </w:r>
    </w:p>
    <w:p w14:paraId="6FE8CAB9">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地质勘察报告；</w:t>
      </w:r>
    </w:p>
    <w:p w14:paraId="50B60681">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环境影响评价、安全评价资料</w:t>
      </w:r>
    </w:p>
    <w:p w14:paraId="722460E5">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初步设计图纸；</w:t>
      </w:r>
    </w:p>
    <w:p w14:paraId="78A62FD1">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初步成本估算。</w:t>
      </w:r>
    </w:p>
    <w:p w14:paraId="1A85643B">
      <w:pPr>
        <w:pStyle w:val="4"/>
        <w:numPr>
          <w:ilvl w:val="2"/>
          <w:numId w:val="14"/>
        </w:numPr>
        <w:rPr>
          <w:rFonts w:hint="eastAsia"/>
          <w:color w:val="auto"/>
          <w:highlight w:val="none"/>
        </w:rPr>
      </w:pPr>
      <w:r>
        <w:rPr>
          <w:rFonts w:hint="eastAsia"/>
          <w:color w:val="auto"/>
          <w:highlight w:val="none"/>
        </w:rPr>
        <w:t>　设计方案深化宜按下列</w:t>
      </w:r>
      <w:r>
        <w:rPr>
          <w:rFonts w:hint="eastAsia"/>
          <w:color w:val="auto"/>
          <w:highlight w:val="none"/>
          <w:lang w:eastAsia="zh-CN"/>
        </w:rPr>
        <w:t>程序实施</w:t>
      </w:r>
      <w:r>
        <w:rPr>
          <w:rFonts w:hint="eastAsia"/>
          <w:color w:val="auto"/>
          <w:highlight w:val="none"/>
        </w:rPr>
        <w:t>：</w:t>
      </w:r>
    </w:p>
    <w:p w14:paraId="0A62F64A">
      <w:pPr>
        <w:numPr>
          <w:ilvl w:val="0"/>
          <w:numId w:val="2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基于项目的工程概况、设计依据、</w:t>
      </w: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、环境影响评价、安全评价资料、初步设计图纸、初步的成本估算等，建立设计方案模型；</w:t>
      </w:r>
    </w:p>
    <w:p w14:paraId="118F39F8">
      <w:pPr>
        <w:numPr>
          <w:ilvl w:val="0"/>
          <w:numId w:val="2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在设计方案模型的基础上进行方案的深化设计，包含结构优化、空间布局调整、能耗分析、声环境模拟等；</w:t>
      </w:r>
    </w:p>
    <w:p w14:paraId="3EAFA4B4">
      <w:pPr>
        <w:numPr>
          <w:ilvl w:val="0"/>
          <w:numId w:val="2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形成设计方案深化报告。</w:t>
      </w:r>
    </w:p>
    <w:p w14:paraId="734E5D69">
      <w:pPr>
        <w:pStyle w:val="4"/>
        <w:numPr>
          <w:ilvl w:val="2"/>
          <w:numId w:val="14"/>
        </w:numPr>
        <w:rPr>
          <w:rFonts w:hint="eastAsia"/>
          <w:color w:val="auto"/>
          <w:highlight w:val="none"/>
        </w:rPr>
      </w:pPr>
      <w:r>
        <w:rPr>
          <w:rFonts w:hint="eastAsia"/>
          <w:color w:val="auto"/>
          <w:highlight w:val="none"/>
        </w:rPr>
        <w:t>　设计方案深化实施后的成果宜包含下列内容：</w:t>
      </w:r>
    </w:p>
    <w:p w14:paraId="2062850D">
      <w:pPr>
        <w:numPr>
          <w:ilvl w:val="0"/>
          <w:numId w:val="2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设计方案深化模型；</w:t>
      </w:r>
    </w:p>
    <w:p w14:paraId="7E96F998">
      <w:pPr>
        <w:numPr>
          <w:ilvl w:val="0"/>
          <w:numId w:val="2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设计方案深化报告。</w:t>
      </w:r>
    </w:p>
    <w:p w14:paraId="6787B7CE">
      <w:pPr>
        <w:pStyle w:val="2"/>
        <w:keepNext w:val="0"/>
        <w:keepLines w:val="0"/>
        <w:numPr>
          <w:ilvl w:val="0"/>
          <w:numId w:val="14"/>
        </w:numPr>
        <w:ind w:left="0"/>
        <w:rPr>
          <w:rFonts w:hint="eastAsia"/>
          <w:color w:val="auto"/>
          <w:highlight w:val="none"/>
        </w:rPr>
      </w:pPr>
      <w:r>
        <w:rPr>
          <w:rFonts w:hint="eastAsia"/>
          <w:color w:val="auto"/>
          <w:highlight w:val="none"/>
        </w:rPr>
        <w:t>　</w:t>
      </w:r>
      <w:bookmarkStart w:id="97" w:name="_Toc16690"/>
      <w:bookmarkStart w:id="98" w:name="_Toc11499"/>
      <w:bookmarkStart w:id="99" w:name="_Toc4853"/>
      <w:bookmarkStart w:id="100" w:name="_Toc9219"/>
      <w:bookmarkStart w:id="101" w:name="_Toc31791"/>
      <w:bookmarkStart w:id="102" w:name="_Toc15730"/>
      <w:bookmarkStart w:id="103" w:name="_Toc12506"/>
      <w:bookmarkStart w:id="104" w:name="_Toc986"/>
      <w:r>
        <w:rPr>
          <w:rFonts w:hint="eastAsia"/>
          <w:color w:val="auto"/>
          <w:highlight w:val="none"/>
          <w:lang w:val="en-US"/>
        </w:rPr>
        <w:t>施工图设计</w:t>
      </w:r>
      <w:r>
        <w:rPr>
          <w:rFonts w:hint="eastAsia"/>
          <w:color w:val="auto"/>
          <w:highlight w:val="none"/>
        </w:rPr>
        <w:t>阶段</w:t>
      </w:r>
      <w:bookmarkEnd w:id="97"/>
      <w:bookmarkEnd w:id="98"/>
      <w:bookmarkEnd w:id="99"/>
      <w:bookmarkEnd w:id="100"/>
      <w:bookmarkEnd w:id="101"/>
      <w:bookmarkEnd w:id="102"/>
      <w:bookmarkEnd w:id="103"/>
      <w:bookmarkEnd w:id="104"/>
    </w:p>
    <w:p w14:paraId="5CA33A58">
      <w:pPr>
        <w:pStyle w:val="3"/>
        <w:keepNext w:val="0"/>
        <w:keepLines w:val="0"/>
        <w:numPr>
          <w:ilvl w:val="1"/>
          <w:numId w:val="14"/>
        </w:numPr>
        <w:rPr>
          <w:rFonts w:hint="eastAsia"/>
          <w:color w:val="auto"/>
          <w:highlight w:val="none"/>
        </w:rPr>
      </w:pPr>
      <w:r>
        <w:rPr>
          <w:rFonts w:hint="eastAsia"/>
          <w:color w:val="auto"/>
          <w:highlight w:val="none"/>
        </w:rPr>
        <w:t>　</w:t>
      </w:r>
      <w:bookmarkStart w:id="105" w:name="_Toc5792"/>
      <w:r>
        <w:rPr>
          <w:rFonts w:hint="eastAsia"/>
          <w:color w:val="auto"/>
          <w:highlight w:val="none"/>
        </w:rPr>
        <w:t>一般规定</w:t>
      </w:r>
      <w:bookmarkEnd w:id="105"/>
    </w:p>
    <w:p w14:paraId="7D021A02">
      <w:pPr>
        <w:pStyle w:val="4"/>
        <w:numPr>
          <w:ilvl w:val="2"/>
          <w:numId w:val="14"/>
        </w:numPr>
        <w:spacing w:line="360" w:lineRule="auto"/>
        <w:rPr>
          <w:rFonts w:hint="eastAsia"/>
          <w:bCs w:val="0"/>
          <w:color w:val="auto"/>
          <w:highlight w:val="none"/>
        </w:rPr>
      </w:pPr>
      <w:r>
        <w:rPr>
          <w:rFonts w:hint="eastAsia"/>
          <w:color w:val="auto"/>
          <w:highlight w:val="none"/>
        </w:rPr>
        <w:t>　市政地下空间工程在施工图设计阶段的主要应用内容宜根据工程实际需求实施管线综合与碰撞检查、净空检查、预留预埋核查、工程量复核等应用点。</w:t>
      </w:r>
    </w:p>
    <w:p w14:paraId="54ACA8F9">
      <w:pPr>
        <w:pStyle w:val="4"/>
        <w:numPr>
          <w:ilvl w:val="2"/>
          <w:numId w:val="14"/>
        </w:numPr>
        <w:spacing w:line="360" w:lineRule="auto"/>
        <w:rPr>
          <w:rFonts w:hint="eastAsia"/>
          <w:color w:val="auto"/>
          <w:highlight w:val="none"/>
        </w:rPr>
      </w:pPr>
      <w:r>
        <w:rPr>
          <w:rFonts w:hint="eastAsia"/>
          <w:color w:val="auto"/>
          <w:highlight w:val="none"/>
        </w:rPr>
        <w:t>　施工图设计</w:t>
      </w:r>
      <w:r>
        <w:rPr>
          <w:rFonts w:hint="eastAsia"/>
          <w:color w:val="auto"/>
          <w:highlight w:val="none"/>
          <w:lang w:eastAsia="zh-Hans"/>
        </w:rPr>
        <w:t>阶段应</w:t>
      </w:r>
      <w:r>
        <w:rPr>
          <w:rFonts w:hint="eastAsia"/>
          <w:color w:val="auto"/>
          <w:highlight w:val="none"/>
          <w:lang w:val="en-US" w:eastAsia="zh-CN"/>
        </w:rPr>
        <w:t>在初步设计的基础上</w:t>
      </w:r>
      <w:r>
        <w:rPr>
          <w:rFonts w:hint="eastAsia"/>
          <w:color w:val="auto"/>
          <w:highlight w:val="none"/>
          <w:lang w:eastAsia="zh-Hans"/>
        </w:rPr>
        <w:t>建立</w:t>
      </w:r>
      <w:r>
        <w:rPr>
          <w:rFonts w:hint="eastAsia"/>
          <w:color w:val="auto"/>
          <w:highlight w:val="none"/>
          <w:lang w:eastAsia="zh-CN"/>
        </w:rPr>
        <w:t>、</w:t>
      </w:r>
      <w:r>
        <w:rPr>
          <w:rFonts w:hint="eastAsia"/>
          <w:color w:val="auto"/>
          <w:highlight w:val="none"/>
          <w:lang w:val="en-US" w:eastAsia="zh-CN"/>
        </w:rPr>
        <w:t>完善</w:t>
      </w:r>
      <w:r>
        <w:rPr>
          <w:rFonts w:hint="eastAsia"/>
          <w:color w:val="auto"/>
          <w:highlight w:val="none"/>
        </w:rPr>
        <w:t>施工图设计</w:t>
      </w:r>
      <w:r>
        <w:rPr>
          <w:rFonts w:hint="eastAsia"/>
          <w:color w:val="auto"/>
          <w:highlight w:val="none"/>
          <w:lang w:eastAsia="zh-Hans"/>
        </w:rPr>
        <w:t>模型</w:t>
      </w:r>
      <w:r>
        <w:rPr>
          <w:rFonts w:hint="eastAsia"/>
          <w:color w:val="auto"/>
          <w:highlight w:val="none"/>
        </w:rPr>
        <w:t>，</w:t>
      </w:r>
      <w:r>
        <w:rPr>
          <w:rFonts w:hint="eastAsia"/>
          <w:color w:val="auto"/>
          <w:highlight w:val="none"/>
          <w:lang w:val="en-US" w:eastAsia="zh-CN"/>
        </w:rPr>
        <w:t>应表达</w:t>
      </w:r>
      <w:r>
        <w:rPr>
          <w:rFonts w:hint="eastAsia"/>
          <w:color w:val="auto"/>
          <w:highlight w:val="none"/>
        </w:rPr>
        <w:t>市政工程管线设计</w:t>
      </w:r>
      <w:r>
        <w:rPr>
          <w:rFonts w:hint="eastAsia"/>
          <w:color w:val="auto"/>
          <w:highlight w:val="none"/>
          <w:lang w:val="en-US" w:eastAsia="zh-CN"/>
        </w:rPr>
        <w:t>方案</w:t>
      </w:r>
      <w:r>
        <w:rPr>
          <w:rFonts w:hint="eastAsia"/>
          <w:color w:val="auto"/>
          <w:highlight w:val="none"/>
        </w:rPr>
        <w:t>、市政地下空间建筑、结构及机电施工图设计</w:t>
      </w:r>
      <w:r>
        <w:rPr>
          <w:rFonts w:hint="eastAsia"/>
          <w:color w:val="auto"/>
          <w:highlight w:val="none"/>
          <w:lang w:val="en-US" w:eastAsia="zh-CN"/>
        </w:rPr>
        <w:t>方案</w:t>
      </w:r>
      <w:r>
        <w:rPr>
          <w:rFonts w:hint="eastAsia"/>
          <w:color w:val="auto"/>
          <w:highlight w:val="none"/>
          <w:lang w:eastAsia="zh-Hans"/>
        </w:rPr>
        <w:t>。</w:t>
      </w:r>
    </w:p>
    <w:p w14:paraId="7EDB482C">
      <w:pPr>
        <w:pStyle w:val="4"/>
        <w:numPr>
          <w:ilvl w:val="2"/>
          <w:numId w:val="14"/>
        </w:numPr>
        <w:spacing w:line="360" w:lineRule="auto"/>
        <w:rPr>
          <w:rFonts w:hint="eastAsia"/>
          <w:color w:val="auto"/>
          <w:highlight w:val="none"/>
        </w:rPr>
      </w:pPr>
      <w:r>
        <w:rPr>
          <w:rFonts w:hint="eastAsia"/>
          <w:color w:val="auto"/>
          <w:highlight w:val="none"/>
        </w:rPr>
        <w:t>　施工图设计阶段应以施工图设计模型为基础，并根据各应用点的需求，集成相关工程资料，形成（战时）管线综合与碰撞检查模型、净空检查模型、预留预埋核查模型、工程量复核模型等。</w:t>
      </w:r>
    </w:p>
    <w:p w14:paraId="3D6CB985">
      <w:pPr>
        <w:pStyle w:val="3"/>
        <w:keepNext w:val="0"/>
        <w:keepLines w:val="0"/>
        <w:numPr>
          <w:ilvl w:val="1"/>
          <w:numId w:val="14"/>
        </w:numPr>
        <w:rPr>
          <w:rFonts w:hint="eastAsia"/>
          <w:color w:val="auto"/>
          <w:highlight w:val="none"/>
        </w:rPr>
      </w:pPr>
      <w:r>
        <w:rPr>
          <w:rFonts w:hint="eastAsia"/>
          <w:color w:val="auto"/>
          <w:highlight w:val="none"/>
        </w:rPr>
        <w:t>　</w:t>
      </w:r>
      <w:bookmarkStart w:id="106" w:name="_Toc10740"/>
      <w:r>
        <w:rPr>
          <w:rFonts w:hint="eastAsia" w:ascii="黑体" w:hAnsi="黑体"/>
          <w:color w:val="auto"/>
          <w:highlight w:val="none"/>
        </w:rPr>
        <w:t>管线综合与碰撞检查</w:t>
      </w:r>
      <w:bookmarkEnd w:id="106"/>
    </w:p>
    <w:p w14:paraId="0F15EEC6">
      <w:pPr>
        <w:pStyle w:val="4"/>
        <w:numPr>
          <w:ilvl w:val="2"/>
          <w:numId w:val="14"/>
        </w:numPr>
        <w:spacing w:line="360" w:lineRule="auto"/>
        <w:rPr>
          <w:rFonts w:hint="eastAsia"/>
          <w:color w:val="auto"/>
          <w:highlight w:val="none"/>
        </w:rPr>
      </w:pPr>
      <w:r>
        <w:rPr>
          <w:rFonts w:hint="eastAsia"/>
          <w:color w:val="auto"/>
          <w:highlight w:val="none"/>
        </w:rPr>
        <w:t>　管线综合与碰撞检查所需的基础资料应包含下列主要内容：</w:t>
      </w:r>
    </w:p>
    <w:p w14:paraId="5775D208">
      <w:pPr>
        <w:numPr>
          <w:ilvl w:val="0"/>
          <w:numId w:val="30"/>
        </w:numPr>
        <w:ind w:firstLine="420"/>
        <w:rPr>
          <w:rFonts w:hint="eastAsia" w:ascii="宋体" w:hAnsi="宋体" w:eastAsia="宋体"/>
          <w:bCs/>
          <w:color w:val="auto"/>
          <w:szCs w:val="32"/>
          <w:highlight w:val="none"/>
        </w:rPr>
      </w:pPr>
      <w:r>
        <w:rPr>
          <w:rFonts w:hint="eastAsia"/>
          <w:color w:val="auto"/>
          <w:highlight w:val="none"/>
        </w:rPr>
        <w:t>市政工程管线设计模型</w:t>
      </w:r>
      <w:r>
        <w:rPr>
          <w:rFonts w:hint="eastAsia"/>
          <w:color w:val="auto"/>
          <w:highlight w:val="none"/>
          <w:lang w:val="en-US" w:eastAsia="zh-CN"/>
        </w:rPr>
        <w:t>和</w:t>
      </w: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5E076E45">
      <w:pPr>
        <w:numPr>
          <w:ilvl w:val="0"/>
          <w:numId w:val="30"/>
        </w:numPr>
        <w:ind w:firstLine="420"/>
        <w:rPr>
          <w:rFonts w:hint="eastAsia" w:ascii="宋体" w:hAnsi="宋体" w:eastAsia="宋体"/>
          <w:bCs/>
          <w:color w:val="auto"/>
          <w:szCs w:val="32"/>
          <w:highlight w:val="none"/>
        </w:rPr>
      </w:pPr>
      <w:r>
        <w:rPr>
          <w:rFonts w:hint="eastAsia"/>
          <w:color w:val="auto"/>
          <w:highlight w:val="none"/>
        </w:rPr>
        <w:t>管线综合与碰撞检查技术要求</w:t>
      </w:r>
      <w:r>
        <w:rPr>
          <w:rFonts w:hint="eastAsia" w:ascii="宋体" w:hAnsi="宋体" w:eastAsia="宋体"/>
          <w:bCs/>
          <w:color w:val="auto"/>
          <w:szCs w:val="32"/>
          <w:highlight w:val="none"/>
        </w:rPr>
        <w:t>。</w:t>
      </w:r>
    </w:p>
    <w:p w14:paraId="5E1E4673">
      <w:pPr>
        <w:pStyle w:val="4"/>
        <w:numPr>
          <w:ilvl w:val="2"/>
          <w:numId w:val="14"/>
        </w:numPr>
        <w:spacing w:line="360" w:lineRule="auto"/>
        <w:rPr>
          <w:rFonts w:hint="eastAsia"/>
          <w:color w:val="auto"/>
          <w:highlight w:val="none"/>
        </w:rPr>
      </w:pPr>
      <w:r>
        <w:rPr>
          <w:rFonts w:hint="eastAsia"/>
          <w:color w:val="auto"/>
          <w:highlight w:val="none"/>
        </w:rPr>
        <w:t>　管线综合与碰撞检查宜按下列</w:t>
      </w:r>
      <w:r>
        <w:rPr>
          <w:rFonts w:hint="eastAsia"/>
          <w:color w:val="auto"/>
          <w:highlight w:val="none"/>
          <w:lang w:eastAsia="zh-CN"/>
        </w:rPr>
        <w:t>程序实施</w:t>
      </w:r>
      <w:r>
        <w:rPr>
          <w:rFonts w:hint="eastAsia"/>
          <w:color w:val="auto"/>
          <w:highlight w:val="none"/>
        </w:rPr>
        <w:t>：</w:t>
      </w:r>
    </w:p>
    <w:p w14:paraId="4A818D82">
      <w:pPr>
        <w:numPr>
          <w:ilvl w:val="0"/>
          <w:numId w:val="3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整合基础资料全部模型，形成管线综合与碰撞检查模型；</w:t>
      </w:r>
    </w:p>
    <w:p w14:paraId="671E84FF">
      <w:pPr>
        <w:numPr>
          <w:ilvl w:val="0"/>
          <w:numId w:val="3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将管线综合与碰撞检查模型导入模型应用软件，依据管线综合与碰撞检查技术要求，进行管线综合与碰撞检查；</w:t>
      </w:r>
    </w:p>
    <w:p w14:paraId="18E12380">
      <w:pPr>
        <w:numPr>
          <w:ilvl w:val="0"/>
          <w:numId w:val="3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依据检查结果，核查不满足技术要求的模型碰撞点，整理形成管线综合与碰撞检查报告。</w:t>
      </w:r>
    </w:p>
    <w:p w14:paraId="101B9874">
      <w:pPr>
        <w:pStyle w:val="4"/>
        <w:numPr>
          <w:ilvl w:val="2"/>
          <w:numId w:val="14"/>
        </w:numPr>
        <w:spacing w:line="360" w:lineRule="auto"/>
        <w:rPr>
          <w:rFonts w:hint="eastAsia"/>
          <w:color w:val="auto"/>
          <w:highlight w:val="none"/>
        </w:rPr>
      </w:pPr>
      <w:r>
        <w:rPr>
          <w:rFonts w:hint="eastAsia"/>
          <w:color w:val="auto"/>
          <w:highlight w:val="none"/>
        </w:rPr>
        <w:t>　管线综合与碰撞检查实施后的成果宜包含下列内容：</w:t>
      </w:r>
    </w:p>
    <w:p w14:paraId="0DB46167">
      <w:pPr>
        <w:numPr>
          <w:ilvl w:val="0"/>
          <w:numId w:val="3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管线综合与碰撞检查模型；</w:t>
      </w:r>
    </w:p>
    <w:p w14:paraId="5C0955ED">
      <w:pPr>
        <w:numPr>
          <w:ilvl w:val="0"/>
          <w:numId w:val="3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管线综合与碰撞检查报告。</w:t>
      </w:r>
    </w:p>
    <w:p w14:paraId="6D325710">
      <w:pPr>
        <w:pStyle w:val="3"/>
        <w:numPr>
          <w:ilvl w:val="1"/>
          <w:numId w:val="14"/>
        </w:numPr>
        <w:rPr>
          <w:rFonts w:hint="eastAsia"/>
          <w:color w:val="auto"/>
          <w:highlight w:val="none"/>
        </w:rPr>
      </w:pPr>
      <w:r>
        <w:rPr>
          <w:rFonts w:hint="eastAsia"/>
          <w:color w:val="auto"/>
          <w:highlight w:val="none"/>
        </w:rPr>
        <w:t>　</w:t>
      </w:r>
      <w:bookmarkStart w:id="107" w:name="_Toc3349"/>
      <w:r>
        <w:rPr>
          <w:rFonts w:hint="eastAsia" w:ascii="黑体" w:hAnsi="黑体"/>
          <w:color w:val="auto"/>
          <w:highlight w:val="none"/>
        </w:rPr>
        <w:t>净空检查</w:t>
      </w:r>
      <w:bookmarkEnd w:id="107"/>
    </w:p>
    <w:p w14:paraId="3F42E537">
      <w:pPr>
        <w:pStyle w:val="4"/>
        <w:numPr>
          <w:ilvl w:val="2"/>
          <w:numId w:val="14"/>
        </w:numPr>
        <w:spacing w:line="360" w:lineRule="auto"/>
        <w:rPr>
          <w:rFonts w:hint="eastAsia"/>
          <w:color w:val="auto"/>
          <w:highlight w:val="none"/>
        </w:rPr>
      </w:pPr>
      <w:r>
        <w:rPr>
          <w:rFonts w:hint="eastAsia"/>
          <w:color w:val="auto"/>
          <w:highlight w:val="none"/>
        </w:rPr>
        <w:t>　净空检查所需的基础资料应包含下列主要内容：</w:t>
      </w:r>
    </w:p>
    <w:p w14:paraId="0460581C">
      <w:pPr>
        <w:numPr>
          <w:ilvl w:val="0"/>
          <w:numId w:val="33"/>
        </w:numPr>
        <w:ind w:firstLine="420"/>
        <w:rPr>
          <w:rFonts w:hint="eastAsia" w:ascii="宋体" w:hAnsi="宋体" w:eastAsia="宋体"/>
          <w:bCs/>
          <w:color w:val="auto"/>
          <w:szCs w:val="32"/>
          <w:highlight w:val="none"/>
        </w:rPr>
      </w:pP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7F20D793">
      <w:pPr>
        <w:numPr>
          <w:ilvl w:val="0"/>
          <w:numId w:val="33"/>
        </w:numPr>
        <w:ind w:firstLine="420"/>
        <w:rPr>
          <w:rFonts w:hint="eastAsia" w:ascii="宋体" w:hAnsi="宋体" w:eastAsia="宋体"/>
          <w:bCs/>
          <w:color w:val="auto"/>
          <w:szCs w:val="32"/>
          <w:highlight w:val="none"/>
        </w:rPr>
      </w:pPr>
      <w:r>
        <w:rPr>
          <w:rFonts w:hint="eastAsia"/>
          <w:color w:val="auto"/>
          <w:highlight w:val="none"/>
        </w:rPr>
        <w:t>净空控制标准</w:t>
      </w:r>
      <w:r>
        <w:rPr>
          <w:rFonts w:hint="eastAsia" w:ascii="宋体" w:hAnsi="宋体" w:eastAsia="宋体"/>
          <w:bCs/>
          <w:color w:val="auto"/>
          <w:szCs w:val="32"/>
          <w:highlight w:val="none"/>
        </w:rPr>
        <w:t>。</w:t>
      </w:r>
    </w:p>
    <w:p w14:paraId="29FB2574">
      <w:pPr>
        <w:pStyle w:val="4"/>
        <w:numPr>
          <w:ilvl w:val="2"/>
          <w:numId w:val="14"/>
        </w:numPr>
        <w:spacing w:line="360" w:lineRule="auto"/>
        <w:rPr>
          <w:rFonts w:hint="eastAsia"/>
          <w:color w:val="auto"/>
          <w:highlight w:val="none"/>
        </w:rPr>
      </w:pPr>
      <w:r>
        <w:rPr>
          <w:rFonts w:hint="eastAsia"/>
          <w:color w:val="auto"/>
          <w:highlight w:val="none"/>
        </w:rPr>
        <w:t>　净空检查宜按下列</w:t>
      </w:r>
      <w:r>
        <w:rPr>
          <w:rFonts w:hint="eastAsia"/>
          <w:color w:val="auto"/>
          <w:highlight w:val="none"/>
          <w:lang w:eastAsia="zh-CN"/>
        </w:rPr>
        <w:t>程序实施</w:t>
      </w:r>
      <w:r>
        <w:rPr>
          <w:rFonts w:hint="eastAsia"/>
          <w:color w:val="auto"/>
          <w:highlight w:val="none"/>
        </w:rPr>
        <w:t>：</w:t>
      </w:r>
    </w:p>
    <w:p w14:paraId="22D8A125">
      <w:pPr>
        <w:numPr>
          <w:ilvl w:val="0"/>
          <w:numId w:val="3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整合基础资料全部模型，形成净空检查模型；</w:t>
      </w:r>
    </w:p>
    <w:p w14:paraId="6BAABF49">
      <w:pPr>
        <w:numPr>
          <w:ilvl w:val="0"/>
          <w:numId w:val="3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将净空检查模型导入模型应用软件，依据净空控制标准，进行净空检查；</w:t>
      </w:r>
    </w:p>
    <w:p w14:paraId="1079523A">
      <w:pPr>
        <w:numPr>
          <w:ilvl w:val="0"/>
          <w:numId w:val="3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依据检查结果，核查净空不满足标准的区域，整理形成净空检查报告。</w:t>
      </w:r>
    </w:p>
    <w:p w14:paraId="1954348B">
      <w:pPr>
        <w:pStyle w:val="4"/>
        <w:numPr>
          <w:ilvl w:val="2"/>
          <w:numId w:val="14"/>
        </w:numPr>
        <w:spacing w:line="360" w:lineRule="auto"/>
        <w:rPr>
          <w:rFonts w:hint="eastAsia"/>
          <w:color w:val="auto"/>
          <w:highlight w:val="none"/>
        </w:rPr>
      </w:pPr>
      <w:r>
        <w:rPr>
          <w:rFonts w:hint="eastAsia"/>
          <w:color w:val="auto"/>
          <w:highlight w:val="none"/>
        </w:rPr>
        <w:t>　净空检查实施后的成果宜包含下列内容：</w:t>
      </w:r>
    </w:p>
    <w:p w14:paraId="4E70782F">
      <w:pPr>
        <w:numPr>
          <w:ilvl w:val="0"/>
          <w:numId w:val="3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净空检查模型；</w:t>
      </w:r>
    </w:p>
    <w:p w14:paraId="4BBF8C0C">
      <w:pPr>
        <w:numPr>
          <w:ilvl w:val="0"/>
          <w:numId w:val="3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净空检查报告。</w:t>
      </w:r>
    </w:p>
    <w:p w14:paraId="0E6C948F">
      <w:pPr>
        <w:pStyle w:val="3"/>
        <w:keepNext w:val="0"/>
        <w:keepLines w:val="0"/>
        <w:numPr>
          <w:ilvl w:val="1"/>
          <w:numId w:val="14"/>
        </w:numPr>
        <w:rPr>
          <w:rFonts w:hint="eastAsia"/>
          <w:color w:val="auto"/>
          <w:highlight w:val="none"/>
        </w:rPr>
      </w:pPr>
      <w:r>
        <w:rPr>
          <w:rFonts w:hint="eastAsia"/>
          <w:color w:val="auto"/>
          <w:highlight w:val="none"/>
        </w:rPr>
        <w:t>　</w:t>
      </w:r>
      <w:bookmarkStart w:id="108" w:name="_Toc8456"/>
      <w:r>
        <w:rPr>
          <w:rFonts w:hint="eastAsia" w:ascii="黑体" w:hAnsi="黑体"/>
          <w:color w:val="auto"/>
          <w:highlight w:val="none"/>
        </w:rPr>
        <w:t>预留预埋核查</w:t>
      </w:r>
      <w:bookmarkEnd w:id="108"/>
    </w:p>
    <w:p w14:paraId="768BF083">
      <w:pPr>
        <w:pStyle w:val="4"/>
        <w:numPr>
          <w:ilvl w:val="2"/>
          <w:numId w:val="14"/>
        </w:numPr>
        <w:spacing w:line="360" w:lineRule="auto"/>
        <w:rPr>
          <w:rFonts w:hint="eastAsia"/>
          <w:color w:val="auto"/>
          <w:highlight w:val="none"/>
        </w:rPr>
      </w:pPr>
      <w:r>
        <w:rPr>
          <w:rFonts w:hint="eastAsia"/>
          <w:color w:val="auto"/>
          <w:highlight w:val="none"/>
        </w:rPr>
        <w:t>　预留预埋核查所需的基础资料应包含下列主要内容：</w:t>
      </w:r>
    </w:p>
    <w:p w14:paraId="7196C520">
      <w:pPr>
        <w:numPr>
          <w:ilvl w:val="0"/>
          <w:numId w:val="36"/>
        </w:numPr>
        <w:ind w:firstLine="420"/>
        <w:rPr>
          <w:rFonts w:hint="eastAsia" w:ascii="宋体" w:hAnsi="宋体" w:eastAsia="宋体"/>
          <w:bCs/>
          <w:color w:val="auto"/>
          <w:szCs w:val="32"/>
          <w:highlight w:val="none"/>
        </w:rPr>
      </w:pP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4015606D">
      <w:pPr>
        <w:numPr>
          <w:ilvl w:val="0"/>
          <w:numId w:val="36"/>
        </w:numPr>
        <w:ind w:firstLine="420"/>
        <w:rPr>
          <w:rFonts w:hint="eastAsia" w:ascii="宋体" w:hAnsi="宋体" w:eastAsia="宋体"/>
          <w:bCs/>
          <w:color w:val="auto"/>
          <w:szCs w:val="32"/>
          <w:highlight w:val="none"/>
        </w:rPr>
      </w:pPr>
      <w:r>
        <w:rPr>
          <w:rFonts w:hint="eastAsia"/>
          <w:color w:val="auto"/>
          <w:highlight w:val="none"/>
        </w:rPr>
        <w:t>预留孔洞和设备预埋设计资料；</w:t>
      </w:r>
    </w:p>
    <w:p w14:paraId="0F20FC8F">
      <w:pPr>
        <w:numPr>
          <w:ilvl w:val="0"/>
          <w:numId w:val="36"/>
        </w:numPr>
        <w:ind w:firstLine="420"/>
        <w:rPr>
          <w:rFonts w:hint="eastAsia" w:ascii="宋体" w:hAnsi="宋体" w:eastAsia="宋体"/>
          <w:bCs/>
          <w:color w:val="auto"/>
          <w:szCs w:val="32"/>
          <w:highlight w:val="none"/>
        </w:rPr>
      </w:pPr>
      <w:r>
        <w:rPr>
          <w:rFonts w:hint="eastAsia"/>
          <w:color w:val="auto"/>
          <w:highlight w:val="none"/>
        </w:rPr>
        <w:t>管线综合与碰撞检查报告。</w:t>
      </w:r>
    </w:p>
    <w:p w14:paraId="7F85ADF2">
      <w:pPr>
        <w:pStyle w:val="4"/>
        <w:numPr>
          <w:ilvl w:val="2"/>
          <w:numId w:val="14"/>
        </w:numPr>
        <w:spacing w:line="360" w:lineRule="auto"/>
        <w:rPr>
          <w:rFonts w:hint="eastAsia"/>
          <w:color w:val="auto"/>
          <w:highlight w:val="none"/>
        </w:rPr>
      </w:pPr>
      <w:r>
        <w:rPr>
          <w:rFonts w:hint="eastAsia"/>
          <w:color w:val="auto"/>
          <w:highlight w:val="none"/>
        </w:rPr>
        <w:t>　预留预埋核查宜按下列</w:t>
      </w:r>
      <w:r>
        <w:rPr>
          <w:rFonts w:hint="eastAsia"/>
          <w:color w:val="auto"/>
          <w:highlight w:val="none"/>
          <w:lang w:eastAsia="zh-CN"/>
        </w:rPr>
        <w:t>程序实施</w:t>
      </w:r>
      <w:r>
        <w:rPr>
          <w:rFonts w:hint="eastAsia"/>
          <w:color w:val="auto"/>
          <w:highlight w:val="none"/>
        </w:rPr>
        <w:t>：</w:t>
      </w:r>
    </w:p>
    <w:p w14:paraId="466F1F5D">
      <w:pPr>
        <w:numPr>
          <w:ilvl w:val="0"/>
          <w:numId w:val="3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整合基础资料全部模型，形成预留预埋核查模型；</w:t>
      </w:r>
    </w:p>
    <w:p w14:paraId="301315C4">
      <w:pPr>
        <w:numPr>
          <w:ilvl w:val="0"/>
          <w:numId w:val="3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将预留预埋核查模型导入模型应用软件，结合管线综合与碰撞检查报告、预留孔洞及设备预埋设计资料，逐项落实各预留预埋点，整理形成预留预埋核查报告。</w:t>
      </w:r>
    </w:p>
    <w:p w14:paraId="6736D804">
      <w:pPr>
        <w:pStyle w:val="4"/>
        <w:numPr>
          <w:ilvl w:val="2"/>
          <w:numId w:val="14"/>
        </w:numPr>
        <w:spacing w:line="360" w:lineRule="auto"/>
        <w:rPr>
          <w:rFonts w:hint="eastAsia"/>
          <w:color w:val="auto"/>
          <w:highlight w:val="none"/>
        </w:rPr>
      </w:pPr>
      <w:r>
        <w:rPr>
          <w:rFonts w:hint="eastAsia"/>
          <w:color w:val="auto"/>
          <w:highlight w:val="none"/>
        </w:rPr>
        <w:t>　预留预埋核查实施后的成果宜包含下列内容：</w:t>
      </w:r>
    </w:p>
    <w:p w14:paraId="3E0A0D29">
      <w:pPr>
        <w:numPr>
          <w:ilvl w:val="0"/>
          <w:numId w:val="3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预留预埋核查模型；</w:t>
      </w:r>
    </w:p>
    <w:p w14:paraId="22A7B377">
      <w:pPr>
        <w:numPr>
          <w:ilvl w:val="0"/>
          <w:numId w:val="3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预留预埋核查报告。</w:t>
      </w:r>
    </w:p>
    <w:p w14:paraId="169CA058">
      <w:pPr>
        <w:pStyle w:val="3"/>
        <w:numPr>
          <w:ilvl w:val="1"/>
          <w:numId w:val="14"/>
        </w:numPr>
        <w:rPr>
          <w:rFonts w:hint="eastAsia"/>
          <w:color w:val="auto"/>
          <w:highlight w:val="none"/>
        </w:rPr>
      </w:pPr>
      <w:r>
        <w:rPr>
          <w:rFonts w:hint="eastAsia"/>
          <w:color w:val="auto"/>
          <w:highlight w:val="none"/>
        </w:rPr>
        <w:t>　</w:t>
      </w:r>
      <w:bookmarkStart w:id="109" w:name="_Toc12056"/>
      <w:r>
        <w:rPr>
          <w:rFonts w:hint="eastAsia"/>
          <w:color w:val="auto"/>
          <w:highlight w:val="none"/>
        </w:rPr>
        <w:t>工程量复核</w:t>
      </w:r>
      <w:bookmarkEnd w:id="109"/>
    </w:p>
    <w:p w14:paraId="11C007B8">
      <w:pPr>
        <w:pStyle w:val="4"/>
        <w:numPr>
          <w:ilvl w:val="2"/>
          <w:numId w:val="14"/>
        </w:numPr>
        <w:spacing w:line="360" w:lineRule="auto"/>
        <w:rPr>
          <w:rFonts w:hint="eastAsia"/>
          <w:color w:val="auto"/>
          <w:highlight w:val="none"/>
        </w:rPr>
      </w:pPr>
      <w:r>
        <w:rPr>
          <w:rFonts w:hint="eastAsia"/>
          <w:color w:val="auto"/>
          <w:highlight w:val="none"/>
        </w:rPr>
        <w:t>　工程量复核所需的基础资料应包含下列主要内容：</w:t>
      </w:r>
    </w:p>
    <w:p w14:paraId="0EF4D6B8">
      <w:pPr>
        <w:numPr>
          <w:ilvl w:val="0"/>
          <w:numId w:val="39"/>
        </w:numPr>
        <w:ind w:firstLine="420"/>
        <w:rPr>
          <w:rFonts w:hint="eastAsia" w:ascii="宋体" w:hAnsi="宋体" w:eastAsia="宋体"/>
          <w:bCs/>
          <w:color w:val="auto"/>
          <w:szCs w:val="32"/>
          <w:highlight w:val="none"/>
        </w:rPr>
      </w:pP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61DDFF26">
      <w:pPr>
        <w:numPr>
          <w:ilvl w:val="0"/>
          <w:numId w:val="39"/>
        </w:numPr>
        <w:ind w:firstLine="420"/>
        <w:rPr>
          <w:rFonts w:hint="eastAsia" w:ascii="宋体" w:hAnsi="宋体" w:eastAsia="宋体"/>
          <w:bCs/>
          <w:color w:val="auto"/>
          <w:szCs w:val="32"/>
          <w:highlight w:val="none"/>
        </w:rPr>
      </w:pPr>
      <w:r>
        <w:rPr>
          <w:rFonts w:hint="eastAsia"/>
          <w:color w:val="auto"/>
          <w:highlight w:val="none"/>
        </w:rPr>
        <w:t>工程量计算规则、分部分项工程量清单</w:t>
      </w:r>
      <w:r>
        <w:rPr>
          <w:rFonts w:hint="eastAsia" w:ascii="宋体" w:hAnsi="宋体" w:eastAsia="宋体"/>
          <w:bCs/>
          <w:color w:val="auto"/>
          <w:szCs w:val="32"/>
          <w:highlight w:val="none"/>
        </w:rPr>
        <w:t>。</w:t>
      </w:r>
    </w:p>
    <w:p w14:paraId="1C923863">
      <w:pPr>
        <w:pStyle w:val="4"/>
        <w:numPr>
          <w:ilvl w:val="2"/>
          <w:numId w:val="14"/>
        </w:numPr>
        <w:spacing w:line="360" w:lineRule="auto"/>
        <w:rPr>
          <w:rFonts w:hint="eastAsia"/>
          <w:color w:val="auto"/>
          <w:highlight w:val="none"/>
        </w:rPr>
      </w:pPr>
      <w:r>
        <w:rPr>
          <w:rFonts w:hint="eastAsia"/>
          <w:color w:val="auto"/>
          <w:highlight w:val="none"/>
        </w:rPr>
        <w:t>　工程量复核宜按下列</w:t>
      </w:r>
      <w:r>
        <w:rPr>
          <w:rFonts w:hint="eastAsia"/>
          <w:color w:val="auto"/>
          <w:highlight w:val="none"/>
          <w:lang w:eastAsia="zh-CN"/>
        </w:rPr>
        <w:t>程序实施</w:t>
      </w:r>
      <w:r>
        <w:rPr>
          <w:rFonts w:hint="eastAsia"/>
          <w:color w:val="auto"/>
          <w:highlight w:val="none"/>
        </w:rPr>
        <w:t>：</w:t>
      </w:r>
    </w:p>
    <w:p w14:paraId="3089F0CD">
      <w:pPr>
        <w:numPr>
          <w:ilvl w:val="0"/>
          <w:numId w:val="4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分别将基础资料模型导入模型应用软件，进行主要设备材料工程量统计；</w:t>
      </w:r>
    </w:p>
    <w:p w14:paraId="36E7C336">
      <w:pPr>
        <w:numPr>
          <w:ilvl w:val="0"/>
          <w:numId w:val="4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依据软件工程量统计结果，复核校验主要设备材料表，整理形成工程量复核报告；</w:t>
      </w:r>
    </w:p>
    <w:p w14:paraId="7438C72E">
      <w:pPr>
        <w:numPr>
          <w:ilvl w:val="0"/>
          <w:numId w:val="4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依据复核报告，对基础资料模型进行核对和修改，形成工程量复核模型。</w:t>
      </w:r>
    </w:p>
    <w:p w14:paraId="413E2460">
      <w:pPr>
        <w:pStyle w:val="4"/>
        <w:numPr>
          <w:ilvl w:val="2"/>
          <w:numId w:val="14"/>
        </w:numPr>
        <w:spacing w:line="360" w:lineRule="auto"/>
        <w:rPr>
          <w:rFonts w:hint="eastAsia"/>
          <w:color w:val="auto"/>
          <w:highlight w:val="none"/>
        </w:rPr>
      </w:pPr>
      <w:r>
        <w:rPr>
          <w:rFonts w:hint="eastAsia"/>
          <w:color w:val="auto"/>
          <w:highlight w:val="none"/>
        </w:rPr>
        <w:t>　工程量复核实施后的成果宜包含下列内容：</w:t>
      </w:r>
    </w:p>
    <w:p w14:paraId="080649AD">
      <w:pPr>
        <w:numPr>
          <w:ilvl w:val="0"/>
          <w:numId w:val="4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工程量统计表；</w:t>
      </w:r>
    </w:p>
    <w:p w14:paraId="74451A4E">
      <w:pPr>
        <w:numPr>
          <w:ilvl w:val="0"/>
          <w:numId w:val="4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工程量复核报告；</w:t>
      </w:r>
    </w:p>
    <w:p w14:paraId="1A0F25D6">
      <w:pPr>
        <w:numPr>
          <w:ilvl w:val="0"/>
          <w:numId w:val="4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工程量复核模型。</w:t>
      </w:r>
    </w:p>
    <w:p w14:paraId="49989AE4">
      <w:pPr>
        <w:pStyle w:val="2"/>
        <w:keepNext w:val="0"/>
        <w:keepLines w:val="0"/>
        <w:numPr>
          <w:ilvl w:val="0"/>
          <w:numId w:val="14"/>
        </w:numPr>
        <w:ind w:left="0"/>
        <w:rPr>
          <w:rFonts w:hint="eastAsia"/>
          <w:color w:val="auto"/>
          <w:highlight w:val="none"/>
        </w:rPr>
      </w:pPr>
      <w:r>
        <w:rPr>
          <w:rFonts w:hint="eastAsia"/>
          <w:color w:val="auto"/>
          <w:highlight w:val="none"/>
        </w:rPr>
        <w:t>　</w:t>
      </w:r>
      <w:bookmarkStart w:id="110" w:name="_Toc26651"/>
      <w:bookmarkStart w:id="111" w:name="_Toc24926"/>
      <w:bookmarkStart w:id="112" w:name="_Toc21128"/>
      <w:bookmarkStart w:id="113" w:name="_Toc16075"/>
      <w:bookmarkStart w:id="114" w:name="_Toc26356"/>
      <w:bookmarkStart w:id="115" w:name="_Toc11173"/>
      <w:bookmarkStart w:id="116" w:name="_Toc28357"/>
      <w:bookmarkStart w:id="117" w:name="_Toc4584"/>
      <w:bookmarkStart w:id="118" w:name="_Toc16778"/>
      <w:bookmarkStart w:id="119" w:name="_Toc9419"/>
      <w:r>
        <w:rPr>
          <w:rFonts w:hint="eastAsia"/>
          <w:color w:val="auto"/>
          <w:highlight w:val="none"/>
          <w:lang w:val="en-US"/>
        </w:rPr>
        <w:t>施工图深化</w:t>
      </w:r>
      <w:r>
        <w:rPr>
          <w:rFonts w:hint="eastAsia"/>
          <w:color w:val="auto"/>
          <w:highlight w:val="none"/>
        </w:rPr>
        <w:t>阶段</w:t>
      </w:r>
      <w:bookmarkEnd w:id="110"/>
      <w:bookmarkEnd w:id="111"/>
      <w:bookmarkEnd w:id="112"/>
      <w:bookmarkEnd w:id="113"/>
      <w:bookmarkEnd w:id="114"/>
      <w:bookmarkEnd w:id="115"/>
      <w:bookmarkEnd w:id="116"/>
      <w:bookmarkEnd w:id="117"/>
      <w:bookmarkEnd w:id="118"/>
      <w:bookmarkEnd w:id="119"/>
    </w:p>
    <w:p w14:paraId="7E7B0B6B">
      <w:pPr>
        <w:pStyle w:val="3"/>
        <w:numPr>
          <w:ilvl w:val="1"/>
          <w:numId w:val="14"/>
        </w:numPr>
        <w:rPr>
          <w:rFonts w:hint="eastAsia"/>
          <w:color w:val="auto"/>
          <w:highlight w:val="none"/>
        </w:rPr>
      </w:pPr>
      <w:r>
        <w:rPr>
          <w:rFonts w:hint="eastAsia"/>
          <w:color w:val="auto"/>
          <w:highlight w:val="none"/>
        </w:rPr>
        <w:t>　</w:t>
      </w:r>
      <w:bookmarkStart w:id="120" w:name="_Toc11720"/>
      <w:bookmarkStart w:id="121" w:name="_Toc17306"/>
      <w:bookmarkStart w:id="122" w:name="_Toc24334"/>
      <w:bookmarkStart w:id="123" w:name="_Toc2314"/>
      <w:bookmarkStart w:id="124" w:name="_Toc972"/>
      <w:bookmarkStart w:id="125" w:name="_Toc13741"/>
      <w:bookmarkStart w:id="126" w:name="_Toc25250"/>
      <w:bookmarkStart w:id="127" w:name="_Toc29963"/>
      <w:bookmarkStart w:id="128" w:name="_Toc18076"/>
      <w:bookmarkStart w:id="129" w:name="_Toc78"/>
      <w:r>
        <w:rPr>
          <w:rFonts w:hint="eastAsia"/>
          <w:color w:val="auto"/>
          <w:highlight w:val="none"/>
        </w:rPr>
        <w:t>一般规定</w:t>
      </w:r>
      <w:bookmarkEnd w:id="120"/>
      <w:bookmarkEnd w:id="121"/>
      <w:bookmarkEnd w:id="122"/>
      <w:bookmarkEnd w:id="123"/>
      <w:bookmarkEnd w:id="124"/>
      <w:bookmarkEnd w:id="125"/>
      <w:bookmarkEnd w:id="126"/>
      <w:bookmarkEnd w:id="127"/>
      <w:bookmarkEnd w:id="128"/>
      <w:bookmarkEnd w:id="129"/>
    </w:p>
    <w:p w14:paraId="51720BF8">
      <w:pPr>
        <w:pStyle w:val="4"/>
        <w:numPr>
          <w:ilvl w:val="2"/>
          <w:numId w:val="14"/>
        </w:numPr>
        <w:rPr>
          <w:rFonts w:hint="eastAsia"/>
          <w:color w:val="auto"/>
          <w:highlight w:val="none"/>
        </w:rPr>
      </w:pPr>
      <w:r>
        <w:rPr>
          <w:rFonts w:hint="eastAsia"/>
          <w:color w:val="auto"/>
          <w:highlight w:val="none"/>
        </w:rPr>
        <w:t>　市政地下空间工程在施工图深化阶段的主要应用内容宜根据工程实际需求，实施装配式构件深化、机电管线深化、装饰装修深化、设备选型等应用点。</w:t>
      </w:r>
    </w:p>
    <w:p w14:paraId="1F420BED">
      <w:pPr>
        <w:pStyle w:val="4"/>
        <w:numPr>
          <w:ilvl w:val="2"/>
          <w:numId w:val="14"/>
        </w:numPr>
        <w:rPr>
          <w:rFonts w:hint="eastAsia"/>
          <w:color w:val="auto"/>
          <w:highlight w:val="none"/>
        </w:rPr>
      </w:pPr>
      <w:r>
        <w:rPr>
          <w:rFonts w:hint="eastAsia"/>
          <w:color w:val="auto"/>
          <w:highlight w:val="none"/>
        </w:rPr>
        <w:t>　施工图深化</w:t>
      </w:r>
      <w:r>
        <w:rPr>
          <w:rFonts w:hint="eastAsia"/>
          <w:color w:val="auto"/>
          <w:highlight w:val="none"/>
          <w:lang w:eastAsia="zh-Hans"/>
        </w:rPr>
        <w:t>阶段应</w:t>
      </w:r>
      <w:r>
        <w:rPr>
          <w:rFonts w:hint="eastAsia"/>
          <w:color w:val="auto"/>
          <w:highlight w:val="none"/>
          <w:lang w:val="en-US" w:eastAsia="zh-CN"/>
        </w:rPr>
        <w:t>在施工图设计的基础上</w:t>
      </w:r>
      <w:r>
        <w:rPr>
          <w:rFonts w:hint="eastAsia"/>
          <w:color w:val="auto"/>
          <w:highlight w:val="none"/>
          <w:lang w:eastAsia="zh-Hans"/>
        </w:rPr>
        <w:t>建立</w:t>
      </w:r>
      <w:r>
        <w:rPr>
          <w:rFonts w:hint="eastAsia"/>
          <w:color w:val="auto"/>
          <w:highlight w:val="none"/>
          <w:lang w:eastAsia="zh-CN"/>
        </w:rPr>
        <w:t>、</w:t>
      </w:r>
      <w:r>
        <w:rPr>
          <w:rFonts w:hint="eastAsia"/>
          <w:color w:val="auto"/>
          <w:highlight w:val="none"/>
          <w:lang w:val="en-US" w:eastAsia="zh-CN"/>
        </w:rPr>
        <w:t>完善施工图深化</w:t>
      </w:r>
      <w:r>
        <w:rPr>
          <w:rFonts w:hint="eastAsia"/>
          <w:color w:val="auto"/>
          <w:highlight w:val="none"/>
          <w:lang w:eastAsia="zh-Hans"/>
        </w:rPr>
        <w:t>模型</w:t>
      </w:r>
      <w:r>
        <w:rPr>
          <w:rFonts w:hint="eastAsia"/>
          <w:color w:val="auto"/>
          <w:highlight w:val="none"/>
        </w:rPr>
        <w:t>，</w:t>
      </w:r>
      <w:r>
        <w:rPr>
          <w:rFonts w:hint="eastAsia"/>
          <w:color w:val="auto"/>
          <w:highlight w:val="none"/>
          <w:lang w:eastAsia="zh-Hans"/>
        </w:rPr>
        <w:t>应表达建筑、结构</w:t>
      </w:r>
      <w:r>
        <w:rPr>
          <w:rFonts w:hint="eastAsia"/>
          <w:color w:val="auto"/>
          <w:highlight w:val="none"/>
        </w:rPr>
        <w:t>及</w:t>
      </w:r>
      <w:r>
        <w:rPr>
          <w:rFonts w:hint="eastAsia"/>
          <w:color w:val="auto"/>
          <w:highlight w:val="none"/>
          <w:lang w:eastAsia="zh-Hans"/>
        </w:rPr>
        <w:t>机电等各专业的施工图</w:t>
      </w:r>
      <w:r>
        <w:rPr>
          <w:rFonts w:hint="eastAsia"/>
          <w:color w:val="auto"/>
          <w:highlight w:val="none"/>
        </w:rPr>
        <w:t>深化</w:t>
      </w:r>
      <w:r>
        <w:rPr>
          <w:rFonts w:hint="eastAsia"/>
          <w:color w:val="auto"/>
          <w:highlight w:val="none"/>
          <w:lang w:eastAsia="zh-Hans"/>
        </w:rPr>
        <w:t>方案。</w:t>
      </w:r>
    </w:p>
    <w:p w14:paraId="43D04CFA">
      <w:pPr>
        <w:pStyle w:val="4"/>
        <w:numPr>
          <w:ilvl w:val="2"/>
          <w:numId w:val="14"/>
        </w:numPr>
        <w:rPr>
          <w:rFonts w:hint="eastAsia"/>
          <w:color w:val="auto"/>
          <w:highlight w:val="none"/>
        </w:rPr>
      </w:pPr>
      <w:r>
        <w:rPr>
          <w:rFonts w:hint="eastAsia"/>
          <w:color w:val="auto"/>
          <w:highlight w:val="none"/>
        </w:rPr>
        <w:t>　施工图深化阶段应以施工图深化模型为基础，根据各应用点需求集成该阶段工程资料，形成装配式构件深化模型、机电管线深化模型、装饰装修深化模型和设备选型模型等。</w:t>
      </w:r>
    </w:p>
    <w:p w14:paraId="2925F068">
      <w:pPr>
        <w:pStyle w:val="3"/>
        <w:keepNext w:val="0"/>
        <w:keepLines w:val="0"/>
        <w:numPr>
          <w:ilvl w:val="1"/>
          <w:numId w:val="14"/>
        </w:numPr>
        <w:rPr>
          <w:rFonts w:hint="eastAsia"/>
          <w:color w:val="auto"/>
          <w:highlight w:val="none"/>
        </w:rPr>
      </w:pPr>
      <w:r>
        <w:rPr>
          <w:rFonts w:hint="eastAsia"/>
          <w:color w:val="auto"/>
          <w:highlight w:val="none"/>
        </w:rPr>
        <w:t>　</w:t>
      </w:r>
      <w:bookmarkStart w:id="130" w:name="_Toc17604"/>
      <w:bookmarkStart w:id="131" w:name="_Toc8503"/>
      <w:bookmarkStart w:id="132" w:name="_Toc6311"/>
      <w:bookmarkStart w:id="133" w:name="_Toc32346"/>
      <w:bookmarkStart w:id="134" w:name="_Toc15049"/>
      <w:bookmarkStart w:id="135" w:name="_Toc19360"/>
      <w:bookmarkStart w:id="136" w:name="_Toc6604"/>
      <w:bookmarkStart w:id="137" w:name="_Toc11875"/>
      <w:r>
        <w:rPr>
          <w:rFonts w:hint="eastAsia" w:ascii="黑体" w:hAnsi="黑体"/>
          <w:color w:val="auto"/>
          <w:highlight w:val="none"/>
        </w:rPr>
        <w:t>装配式构件深化</w:t>
      </w:r>
      <w:bookmarkEnd w:id="130"/>
      <w:bookmarkEnd w:id="131"/>
      <w:bookmarkEnd w:id="132"/>
      <w:bookmarkEnd w:id="133"/>
      <w:bookmarkEnd w:id="134"/>
      <w:bookmarkEnd w:id="135"/>
      <w:bookmarkEnd w:id="136"/>
      <w:bookmarkEnd w:id="137"/>
    </w:p>
    <w:p w14:paraId="2F849A9A">
      <w:pPr>
        <w:pStyle w:val="4"/>
        <w:numPr>
          <w:ilvl w:val="2"/>
          <w:numId w:val="14"/>
        </w:numPr>
        <w:rPr>
          <w:rFonts w:hint="eastAsia"/>
          <w:color w:val="auto"/>
          <w:highlight w:val="none"/>
        </w:rPr>
      </w:pPr>
      <w:r>
        <w:rPr>
          <w:rFonts w:hint="eastAsia"/>
          <w:color w:val="auto"/>
          <w:highlight w:val="none"/>
        </w:rPr>
        <w:t>　装配式构件深化所需的基础资料应包含下列主要内容：</w:t>
      </w:r>
    </w:p>
    <w:p w14:paraId="0D2BD11A">
      <w:pPr>
        <w:numPr>
          <w:ilvl w:val="0"/>
          <w:numId w:val="42"/>
        </w:numPr>
        <w:ind w:firstLine="420"/>
        <w:rPr>
          <w:rFonts w:hint="eastAsia" w:ascii="宋体" w:hAnsi="宋体" w:eastAsia="宋体"/>
          <w:bCs/>
          <w:color w:val="auto"/>
          <w:szCs w:val="32"/>
          <w:highlight w:val="none"/>
        </w:rPr>
      </w:pPr>
      <w:r>
        <w:rPr>
          <w:rFonts w:hint="eastAsia"/>
          <w:color w:val="auto"/>
          <w:highlight w:val="none"/>
        </w:rPr>
        <w:t>施工图深化模型</w:t>
      </w:r>
      <w:r>
        <w:rPr>
          <w:rFonts w:hint="eastAsia" w:ascii="宋体" w:hAnsi="宋体" w:eastAsia="宋体"/>
          <w:bCs/>
          <w:color w:val="auto"/>
          <w:szCs w:val="32"/>
          <w:highlight w:val="none"/>
        </w:rPr>
        <w:t>；</w:t>
      </w:r>
    </w:p>
    <w:p w14:paraId="65018D0A">
      <w:pPr>
        <w:numPr>
          <w:ilvl w:val="0"/>
          <w:numId w:val="42"/>
        </w:numPr>
        <w:ind w:firstLine="420"/>
        <w:rPr>
          <w:rFonts w:hint="eastAsia" w:ascii="宋体" w:hAnsi="宋体" w:eastAsia="宋体"/>
          <w:bCs/>
          <w:color w:val="auto"/>
          <w:szCs w:val="32"/>
          <w:highlight w:val="none"/>
        </w:rPr>
      </w:pPr>
      <w:r>
        <w:rPr>
          <w:rFonts w:hint="eastAsia"/>
          <w:color w:val="auto"/>
          <w:highlight w:val="none"/>
        </w:rPr>
        <w:t>装配式构件产品参数规格；</w:t>
      </w:r>
    </w:p>
    <w:p w14:paraId="078C9420">
      <w:pPr>
        <w:numPr>
          <w:ilvl w:val="0"/>
          <w:numId w:val="42"/>
        </w:numPr>
        <w:ind w:firstLine="420"/>
        <w:rPr>
          <w:rFonts w:hint="eastAsia" w:ascii="宋体" w:hAnsi="宋体" w:eastAsia="宋体"/>
          <w:bCs/>
          <w:color w:val="auto"/>
          <w:szCs w:val="32"/>
          <w:highlight w:val="none"/>
        </w:rPr>
      </w:pPr>
      <w:r>
        <w:rPr>
          <w:rFonts w:hint="eastAsia"/>
          <w:color w:val="auto"/>
          <w:highlight w:val="none"/>
        </w:rPr>
        <w:t>装配式构件编码规则。</w:t>
      </w:r>
    </w:p>
    <w:p w14:paraId="371B3AC9">
      <w:pPr>
        <w:pStyle w:val="4"/>
        <w:numPr>
          <w:ilvl w:val="2"/>
          <w:numId w:val="14"/>
        </w:numPr>
        <w:rPr>
          <w:rFonts w:hint="eastAsia"/>
          <w:color w:val="auto"/>
          <w:highlight w:val="none"/>
        </w:rPr>
      </w:pPr>
      <w:r>
        <w:rPr>
          <w:rFonts w:hint="eastAsia"/>
          <w:color w:val="auto"/>
          <w:highlight w:val="none"/>
        </w:rPr>
        <w:t>　装配式构件深化宜按下列程序实施：</w:t>
      </w:r>
    </w:p>
    <w:p w14:paraId="2AAAFC79">
      <w:pPr>
        <w:numPr>
          <w:ilvl w:val="0"/>
          <w:numId w:val="43"/>
        </w:numPr>
        <w:ind w:firstLineChars="0"/>
        <w:rPr>
          <w:color w:val="auto"/>
          <w:highlight w:val="none"/>
        </w:rPr>
      </w:pPr>
      <w:r>
        <w:rPr>
          <w:rFonts w:hint="eastAsia"/>
          <w:color w:val="auto"/>
          <w:highlight w:val="none"/>
        </w:rPr>
        <w:t>确定装配式加工界面范围；</w:t>
      </w:r>
    </w:p>
    <w:p w14:paraId="7CA4846C">
      <w:pPr>
        <w:numPr>
          <w:ilvl w:val="0"/>
          <w:numId w:val="43"/>
        </w:numPr>
        <w:ind w:firstLineChars="0"/>
        <w:rPr>
          <w:color w:val="auto"/>
          <w:highlight w:val="none"/>
        </w:rPr>
      </w:pPr>
      <w:r>
        <w:rPr>
          <w:rFonts w:hint="eastAsia"/>
          <w:color w:val="auto"/>
          <w:highlight w:val="none"/>
        </w:rPr>
        <w:t>基于施工图深化模型，结合装配式构件产品参数规格，建立装配式构件加工模型；</w:t>
      </w:r>
    </w:p>
    <w:p w14:paraId="4E79149A">
      <w:pPr>
        <w:numPr>
          <w:ilvl w:val="0"/>
          <w:numId w:val="43"/>
        </w:numPr>
        <w:ind w:firstLineChars="0"/>
        <w:rPr>
          <w:color w:val="auto"/>
          <w:highlight w:val="none"/>
        </w:rPr>
      </w:pPr>
      <w:r>
        <w:rPr>
          <w:rFonts w:hint="eastAsia"/>
          <w:color w:val="auto"/>
          <w:highlight w:val="none"/>
        </w:rPr>
        <w:t>根据施工现场情况和装配式构件加工方案，调整偏差，深化装配式构件设计；</w:t>
      </w:r>
    </w:p>
    <w:p w14:paraId="16182B0B">
      <w:pPr>
        <w:numPr>
          <w:ilvl w:val="0"/>
          <w:numId w:val="43"/>
        </w:numPr>
        <w:ind w:left="0" w:firstLine="420" w:firstLineChars="0"/>
        <w:rPr>
          <w:color w:val="auto"/>
          <w:highlight w:val="none"/>
        </w:rPr>
      </w:pPr>
      <w:r>
        <w:rPr>
          <w:rFonts w:hint="eastAsia"/>
          <w:color w:val="auto"/>
          <w:highlight w:val="none"/>
        </w:rPr>
        <w:t>根据装配式构件编码规则标注装配式构件加工模型，并生成装配式构件加工图和加工清单；</w:t>
      </w:r>
    </w:p>
    <w:p w14:paraId="38380955">
      <w:pPr>
        <w:numPr>
          <w:ilvl w:val="0"/>
          <w:numId w:val="43"/>
        </w:numPr>
        <w:ind w:firstLineChars="0"/>
        <w:rPr>
          <w:color w:val="auto"/>
          <w:highlight w:val="none"/>
        </w:rPr>
      </w:pPr>
      <w:r>
        <w:rPr>
          <w:rFonts w:hint="eastAsia"/>
          <w:color w:val="auto"/>
          <w:highlight w:val="none"/>
        </w:rPr>
        <w:t>依据深化设计后的</w:t>
      </w:r>
      <w:r>
        <w:rPr>
          <w:rFonts w:hint="eastAsia" w:eastAsia="宋体"/>
          <w:color w:val="auto"/>
          <w:highlight w:val="none"/>
        </w:rPr>
        <w:t>装配式</w:t>
      </w:r>
      <w:r>
        <w:rPr>
          <w:rFonts w:hint="eastAsia"/>
          <w:color w:val="auto"/>
          <w:highlight w:val="none"/>
        </w:rPr>
        <w:t>构件加工模型，指导现场装配式构件的装配施工。</w:t>
      </w:r>
    </w:p>
    <w:p w14:paraId="58CACE88">
      <w:pPr>
        <w:pStyle w:val="4"/>
        <w:numPr>
          <w:ilvl w:val="2"/>
          <w:numId w:val="14"/>
        </w:numPr>
        <w:rPr>
          <w:rFonts w:hint="eastAsia"/>
          <w:color w:val="auto"/>
          <w:highlight w:val="none"/>
        </w:rPr>
      </w:pPr>
      <w:r>
        <w:rPr>
          <w:rFonts w:hint="eastAsia"/>
          <w:color w:val="auto"/>
          <w:highlight w:val="none"/>
        </w:rPr>
        <w:t>　装配式构件深化实施后的成果宜包含下列内容：</w:t>
      </w:r>
    </w:p>
    <w:p w14:paraId="77620A46">
      <w:pPr>
        <w:numPr>
          <w:ilvl w:val="0"/>
          <w:numId w:val="4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装配式构件加工模型；</w:t>
      </w:r>
    </w:p>
    <w:p w14:paraId="07311B97">
      <w:pPr>
        <w:numPr>
          <w:ilvl w:val="0"/>
          <w:numId w:val="4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装配式构件加工图和加工清单。</w:t>
      </w:r>
    </w:p>
    <w:p w14:paraId="01FC2296">
      <w:pPr>
        <w:pStyle w:val="3"/>
        <w:keepNext w:val="0"/>
        <w:keepLines w:val="0"/>
        <w:numPr>
          <w:ilvl w:val="1"/>
          <w:numId w:val="14"/>
        </w:numPr>
        <w:rPr>
          <w:rFonts w:hint="eastAsia"/>
          <w:color w:val="auto"/>
          <w:highlight w:val="none"/>
        </w:rPr>
      </w:pPr>
      <w:r>
        <w:rPr>
          <w:rFonts w:hint="eastAsia"/>
          <w:color w:val="auto"/>
          <w:highlight w:val="none"/>
        </w:rPr>
        <w:t>　</w:t>
      </w:r>
      <w:bookmarkStart w:id="138" w:name="_Toc22348"/>
      <w:bookmarkStart w:id="139" w:name="_Toc31880"/>
      <w:bookmarkStart w:id="140" w:name="_Toc16787"/>
      <w:bookmarkStart w:id="141" w:name="_Toc19832"/>
      <w:bookmarkStart w:id="142" w:name="_Toc13203"/>
      <w:bookmarkStart w:id="143" w:name="_Toc17938"/>
      <w:bookmarkStart w:id="144" w:name="_Toc29519"/>
      <w:bookmarkStart w:id="145" w:name="_Toc19313"/>
      <w:bookmarkStart w:id="146" w:name="_Toc9186"/>
      <w:bookmarkStart w:id="147" w:name="_Toc1339"/>
      <w:r>
        <w:rPr>
          <w:rFonts w:hint="eastAsia" w:ascii="黑体" w:hAnsi="黑体"/>
          <w:color w:val="auto"/>
          <w:highlight w:val="none"/>
        </w:rPr>
        <w:t>机电管线深化</w:t>
      </w:r>
      <w:bookmarkEnd w:id="138"/>
      <w:bookmarkEnd w:id="139"/>
      <w:bookmarkEnd w:id="140"/>
      <w:bookmarkEnd w:id="141"/>
      <w:bookmarkEnd w:id="142"/>
      <w:bookmarkEnd w:id="143"/>
      <w:bookmarkEnd w:id="144"/>
      <w:bookmarkEnd w:id="145"/>
      <w:bookmarkEnd w:id="146"/>
      <w:bookmarkEnd w:id="147"/>
    </w:p>
    <w:p w14:paraId="40C786D8">
      <w:pPr>
        <w:pStyle w:val="4"/>
        <w:numPr>
          <w:ilvl w:val="2"/>
          <w:numId w:val="14"/>
        </w:numPr>
        <w:rPr>
          <w:rFonts w:hint="eastAsia"/>
          <w:color w:val="auto"/>
          <w:highlight w:val="none"/>
        </w:rPr>
      </w:pPr>
      <w:r>
        <w:rPr>
          <w:rFonts w:hint="eastAsia"/>
          <w:color w:val="auto"/>
          <w:highlight w:val="none"/>
        </w:rPr>
        <w:t>　机电管线深化所需的基础资料应包含下列主要内容：</w:t>
      </w:r>
    </w:p>
    <w:p w14:paraId="418CE8B5">
      <w:pPr>
        <w:numPr>
          <w:ilvl w:val="0"/>
          <w:numId w:val="45"/>
        </w:numPr>
        <w:ind w:firstLine="420"/>
        <w:rPr>
          <w:rFonts w:hint="eastAsia" w:ascii="宋体" w:hAnsi="宋体" w:eastAsia="宋体"/>
          <w:bCs/>
          <w:color w:val="auto"/>
          <w:szCs w:val="32"/>
          <w:highlight w:val="none"/>
        </w:rPr>
      </w:pPr>
      <w:r>
        <w:rPr>
          <w:rFonts w:hint="eastAsia" w:eastAsia="宋体"/>
          <w:color w:val="auto"/>
          <w:highlight w:val="none"/>
        </w:rPr>
        <w:t>施工图深化模型</w:t>
      </w:r>
      <w:r>
        <w:rPr>
          <w:rFonts w:hint="eastAsia" w:ascii="宋体" w:hAnsi="宋体" w:eastAsia="宋体"/>
          <w:bCs/>
          <w:color w:val="auto"/>
          <w:szCs w:val="32"/>
          <w:highlight w:val="none"/>
        </w:rPr>
        <w:t>；</w:t>
      </w:r>
    </w:p>
    <w:p w14:paraId="55C8493C">
      <w:pPr>
        <w:numPr>
          <w:ilvl w:val="0"/>
          <w:numId w:val="45"/>
        </w:numPr>
        <w:ind w:firstLine="420"/>
        <w:rPr>
          <w:rFonts w:hint="eastAsia" w:ascii="宋体" w:hAnsi="宋体" w:eastAsia="宋体"/>
          <w:bCs/>
          <w:color w:val="auto"/>
          <w:szCs w:val="32"/>
          <w:highlight w:val="none"/>
        </w:rPr>
      </w:pPr>
      <w:r>
        <w:rPr>
          <w:rFonts w:hint="eastAsia"/>
          <w:color w:val="auto"/>
          <w:highlight w:val="none"/>
        </w:rPr>
        <w:t>管线综合与碰撞检查报告；</w:t>
      </w:r>
    </w:p>
    <w:p w14:paraId="7FAE68B2">
      <w:pPr>
        <w:numPr>
          <w:ilvl w:val="0"/>
          <w:numId w:val="45"/>
        </w:numPr>
        <w:ind w:firstLine="420"/>
        <w:rPr>
          <w:rFonts w:hint="eastAsia" w:ascii="宋体" w:hAnsi="宋体" w:eastAsia="宋体"/>
          <w:bCs/>
          <w:color w:val="auto"/>
          <w:szCs w:val="32"/>
          <w:highlight w:val="none"/>
        </w:rPr>
      </w:pPr>
      <w:r>
        <w:rPr>
          <w:rFonts w:hint="eastAsia"/>
          <w:color w:val="auto"/>
          <w:highlight w:val="none"/>
        </w:rPr>
        <w:t>净空检查报告；</w:t>
      </w:r>
    </w:p>
    <w:p w14:paraId="60F37610">
      <w:pPr>
        <w:numPr>
          <w:ilvl w:val="0"/>
          <w:numId w:val="45"/>
        </w:numPr>
        <w:ind w:firstLine="420"/>
        <w:rPr>
          <w:rFonts w:hint="eastAsia" w:ascii="宋体" w:hAnsi="宋体" w:eastAsia="宋体"/>
          <w:bCs/>
          <w:color w:val="auto"/>
          <w:szCs w:val="32"/>
          <w:highlight w:val="none"/>
        </w:rPr>
      </w:pPr>
      <w:r>
        <w:rPr>
          <w:rFonts w:hint="eastAsia"/>
          <w:color w:val="auto"/>
          <w:highlight w:val="none"/>
        </w:rPr>
        <w:t>预留预埋核查报告。</w:t>
      </w:r>
    </w:p>
    <w:p w14:paraId="77053853">
      <w:pPr>
        <w:pStyle w:val="4"/>
        <w:numPr>
          <w:ilvl w:val="2"/>
          <w:numId w:val="14"/>
        </w:numPr>
        <w:rPr>
          <w:rFonts w:hint="eastAsia"/>
          <w:color w:val="auto"/>
          <w:highlight w:val="none"/>
        </w:rPr>
      </w:pPr>
      <w:r>
        <w:rPr>
          <w:rFonts w:hint="eastAsia"/>
          <w:color w:val="auto"/>
          <w:highlight w:val="none"/>
        </w:rPr>
        <w:t>　机电管线深化宜按下列程序实施：</w:t>
      </w:r>
    </w:p>
    <w:p w14:paraId="1E4EB34D">
      <w:pPr>
        <w:numPr>
          <w:ilvl w:val="0"/>
          <w:numId w:val="4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基于施工图深化模型，结合管线综合与碰撞检查报告、净高检查报告和预留预埋核查报告，深化管线布置；</w:t>
      </w:r>
    </w:p>
    <w:p w14:paraId="4C416138">
      <w:pPr>
        <w:numPr>
          <w:ilvl w:val="0"/>
          <w:numId w:val="4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形成机电管线深化模型、指导管线施工的资料文件（图纸、说明等）。</w:t>
      </w:r>
    </w:p>
    <w:p w14:paraId="033B8FCB">
      <w:pPr>
        <w:pStyle w:val="4"/>
        <w:numPr>
          <w:ilvl w:val="2"/>
          <w:numId w:val="14"/>
        </w:numPr>
        <w:rPr>
          <w:rFonts w:hint="eastAsia"/>
          <w:color w:val="auto"/>
          <w:highlight w:val="none"/>
        </w:rPr>
      </w:pPr>
      <w:r>
        <w:rPr>
          <w:rFonts w:hint="eastAsia"/>
          <w:color w:val="auto"/>
          <w:highlight w:val="none"/>
        </w:rPr>
        <w:t>　机电管线深化实施后的成果宜包含下列内容：</w:t>
      </w:r>
    </w:p>
    <w:p w14:paraId="1F08082F">
      <w:pPr>
        <w:numPr>
          <w:ilvl w:val="0"/>
          <w:numId w:val="4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机电管线深化模型；</w:t>
      </w:r>
    </w:p>
    <w:p w14:paraId="122EB7B7">
      <w:pPr>
        <w:numPr>
          <w:ilvl w:val="0"/>
          <w:numId w:val="4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指导管线施工的资料文件（图纸、说明等）。</w:t>
      </w:r>
    </w:p>
    <w:p w14:paraId="254A9A49">
      <w:pPr>
        <w:pStyle w:val="3"/>
        <w:numPr>
          <w:ilvl w:val="1"/>
          <w:numId w:val="14"/>
        </w:numPr>
        <w:rPr>
          <w:rFonts w:hint="eastAsia"/>
          <w:color w:val="auto"/>
          <w:highlight w:val="none"/>
        </w:rPr>
      </w:pPr>
      <w:r>
        <w:rPr>
          <w:rFonts w:hint="eastAsia"/>
          <w:color w:val="auto"/>
          <w:highlight w:val="none"/>
        </w:rPr>
        <w:t>　</w:t>
      </w:r>
      <w:bookmarkStart w:id="148" w:name="_Toc11928"/>
      <w:bookmarkStart w:id="149" w:name="_Toc10913"/>
      <w:bookmarkStart w:id="150" w:name="_Toc1139"/>
      <w:bookmarkStart w:id="151" w:name="_Toc5993"/>
      <w:bookmarkStart w:id="152" w:name="_Toc20557"/>
      <w:bookmarkStart w:id="153" w:name="_Toc23962"/>
      <w:bookmarkStart w:id="154" w:name="_Toc23960"/>
      <w:bookmarkStart w:id="155" w:name="_Toc23416"/>
      <w:bookmarkStart w:id="156" w:name="_Toc8949"/>
      <w:bookmarkStart w:id="157" w:name="_Toc22063"/>
      <w:r>
        <w:rPr>
          <w:rFonts w:hint="eastAsia" w:ascii="黑体" w:hAnsi="黑体"/>
          <w:color w:val="auto"/>
          <w:highlight w:val="none"/>
        </w:rPr>
        <w:t>装饰装修深化</w:t>
      </w:r>
      <w:bookmarkEnd w:id="148"/>
      <w:bookmarkEnd w:id="149"/>
      <w:bookmarkEnd w:id="150"/>
      <w:bookmarkEnd w:id="151"/>
      <w:bookmarkEnd w:id="152"/>
      <w:bookmarkEnd w:id="153"/>
      <w:bookmarkEnd w:id="154"/>
      <w:bookmarkEnd w:id="155"/>
      <w:bookmarkEnd w:id="156"/>
      <w:bookmarkEnd w:id="157"/>
    </w:p>
    <w:p w14:paraId="3A0D9BD7">
      <w:pPr>
        <w:pStyle w:val="4"/>
        <w:numPr>
          <w:ilvl w:val="2"/>
          <w:numId w:val="14"/>
        </w:numPr>
        <w:rPr>
          <w:rFonts w:hint="eastAsia"/>
          <w:color w:val="auto"/>
          <w:highlight w:val="none"/>
        </w:rPr>
      </w:pPr>
      <w:r>
        <w:rPr>
          <w:rFonts w:hint="eastAsia"/>
          <w:color w:val="auto"/>
          <w:highlight w:val="none"/>
        </w:rPr>
        <w:t>　装饰装修深化所需的基础资料应包含下列主要内容：</w:t>
      </w:r>
    </w:p>
    <w:p w14:paraId="37205F39">
      <w:pPr>
        <w:numPr>
          <w:ilvl w:val="0"/>
          <w:numId w:val="48"/>
        </w:numPr>
        <w:ind w:firstLine="420"/>
        <w:rPr>
          <w:rFonts w:hint="eastAsia" w:ascii="宋体" w:hAnsi="宋体" w:eastAsia="宋体"/>
          <w:bCs/>
          <w:color w:val="auto"/>
          <w:szCs w:val="32"/>
          <w:highlight w:val="none"/>
        </w:rPr>
      </w:pPr>
      <w:r>
        <w:rPr>
          <w:rFonts w:hint="eastAsia" w:eastAsia="宋体"/>
          <w:color w:val="auto"/>
          <w:highlight w:val="none"/>
        </w:rPr>
        <w:t>施工图深化模型</w:t>
      </w:r>
      <w:r>
        <w:rPr>
          <w:rFonts w:hint="eastAsia" w:ascii="宋体" w:hAnsi="宋体" w:eastAsia="宋体"/>
          <w:bCs/>
          <w:color w:val="auto"/>
          <w:szCs w:val="32"/>
          <w:highlight w:val="none"/>
        </w:rPr>
        <w:t>；</w:t>
      </w:r>
    </w:p>
    <w:p w14:paraId="6FF1D88F">
      <w:pPr>
        <w:numPr>
          <w:ilvl w:val="0"/>
          <w:numId w:val="48"/>
        </w:numPr>
        <w:ind w:firstLine="420"/>
        <w:rPr>
          <w:rFonts w:hint="eastAsia" w:ascii="宋体" w:hAnsi="宋体" w:eastAsia="宋体"/>
          <w:bCs/>
          <w:color w:val="auto"/>
          <w:szCs w:val="32"/>
          <w:highlight w:val="none"/>
        </w:rPr>
      </w:pPr>
      <w:r>
        <w:rPr>
          <w:rFonts w:hint="eastAsia"/>
          <w:color w:val="auto"/>
          <w:highlight w:val="none"/>
        </w:rPr>
        <w:t>装修效果图；</w:t>
      </w:r>
    </w:p>
    <w:p w14:paraId="2C0DD166">
      <w:pPr>
        <w:numPr>
          <w:ilvl w:val="0"/>
          <w:numId w:val="48"/>
        </w:numPr>
        <w:ind w:firstLine="420"/>
        <w:rPr>
          <w:rFonts w:hint="eastAsia" w:ascii="宋体" w:hAnsi="宋体" w:eastAsia="宋体"/>
          <w:bCs/>
          <w:color w:val="auto"/>
          <w:szCs w:val="32"/>
          <w:highlight w:val="none"/>
        </w:rPr>
      </w:pPr>
      <w:r>
        <w:rPr>
          <w:rFonts w:hint="eastAsia"/>
          <w:color w:val="auto"/>
          <w:highlight w:val="none"/>
        </w:rPr>
        <w:t>材质贴图</w:t>
      </w:r>
      <w:r>
        <w:rPr>
          <w:rFonts w:hint="eastAsia" w:ascii="宋体" w:hAnsi="宋体" w:eastAsia="宋体"/>
          <w:bCs/>
          <w:color w:val="auto"/>
          <w:szCs w:val="32"/>
          <w:highlight w:val="none"/>
        </w:rPr>
        <w:t>。</w:t>
      </w:r>
    </w:p>
    <w:p w14:paraId="2926FBD1">
      <w:pPr>
        <w:pStyle w:val="4"/>
        <w:numPr>
          <w:ilvl w:val="2"/>
          <w:numId w:val="14"/>
        </w:numPr>
        <w:rPr>
          <w:rFonts w:hint="eastAsia"/>
          <w:color w:val="auto"/>
          <w:highlight w:val="none"/>
        </w:rPr>
      </w:pPr>
      <w:r>
        <w:rPr>
          <w:rFonts w:hint="eastAsia"/>
          <w:color w:val="auto"/>
          <w:highlight w:val="none"/>
        </w:rPr>
        <w:t>　装饰装修深化宜按下列程序实施：</w:t>
      </w:r>
    </w:p>
    <w:p w14:paraId="57973885">
      <w:pPr>
        <w:numPr>
          <w:ilvl w:val="0"/>
          <w:numId w:val="4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基于施工图深化模型，结合装修效果图和材质贴图，深化模型构件材质、灯光照明和室内布置，形成装饰装修深化模型；</w:t>
      </w:r>
    </w:p>
    <w:p w14:paraId="5F603DFA">
      <w:pPr>
        <w:numPr>
          <w:ilvl w:val="0"/>
          <w:numId w:val="4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将装饰装修深化模型导入模型应用软件，添加贴图和光照等仿真模拟元素，进行装饰装修仿真模拟，形成装饰装修方案可视化成果。</w:t>
      </w:r>
    </w:p>
    <w:p w14:paraId="0A367CBC">
      <w:pPr>
        <w:pStyle w:val="4"/>
        <w:numPr>
          <w:ilvl w:val="2"/>
          <w:numId w:val="14"/>
        </w:numPr>
        <w:rPr>
          <w:rFonts w:hint="eastAsia"/>
          <w:color w:val="auto"/>
          <w:highlight w:val="none"/>
        </w:rPr>
      </w:pPr>
      <w:r>
        <w:rPr>
          <w:rFonts w:hint="eastAsia"/>
          <w:color w:val="auto"/>
          <w:highlight w:val="none"/>
        </w:rPr>
        <w:t>　装饰装修深化实施后的成果宜包含下列内容：</w:t>
      </w:r>
    </w:p>
    <w:p w14:paraId="675BF4C3">
      <w:pPr>
        <w:numPr>
          <w:ilvl w:val="0"/>
          <w:numId w:val="5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装饰装修深化模型；</w:t>
      </w:r>
    </w:p>
    <w:p w14:paraId="4DC9CD15">
      <w:pPr>
        <w:numPr>
          <w:ilvl w:val="0"/>
          <w:numId w:val="5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装饰装修方案可视化成果。</w:t>
      </w:r>
    </w:p>
    <w:p w14:paraId="51CD7C37">
      <w:pPr>
        <w:pStyle w:val="3"/>
        <w:numPr>
          <w:ilvl w:val="1"/>
          <w:numId w:val="14"/>
        </w:numPr>
        <w:rPr>
          <w:rFonts w:ascii="Segoe UI" w:hAnsi="Segoe UI" w:eastAsia="Segoe UI" w:cs="Segoe UI"/>
          <w:color w:val="auto"/>
          <w:sz w:val="27"/>
          <w:szCs w:val="27"/>
          <w:highlight w:val="none"/>
        </w:rPr>
      </w:pPr>
      <w:r>
        <w:rPr>
          <w:rFonts w:hint="eastAsia"/>
          <w:color w:val="auto"/>
          <w:highlight w:val="none"/>
        </w:rPr>
        <w:t>　</w:t>
      </w:r>
      <w:bookmarkStart w:id="158" w:name="_Toc8300"/>
      <w:r>
        <w:rPr>
          <w:rFonts w:hint="eastAsia"/>
          <w:color w:val="auto"/>
          <w:highlight w:val="none"/>
        </w:rPr>
        <w:t>设备选型</w:t>
      </w:r>
      <w:bookmarkEnd w:id="158"/>
    </w:p>
    <w:p w14:paraId="53231ECC">
      <w:pPr>
        <w:pStyle w:val="4"/>
        <w:numPr>
          <w:ilvl w:val="2"/>
          <w:numId w:val="14"/>
        </w:numPr>
        <w:rPr>
          <w:rFonts w:hint="eastAsia"/>
          <w:color w:val="auto"/>
          <w:highlight w:val="none"/>
        </w:rPr>
      </w:pPr>
      <w:r>
        <w:rPr>
          <w:rFonts w:hint="eastAsia"/>
          <w:color w:val="auto"/>
          <w:highlight w:val="none"/>
        </w:rPr>
        <w:t>　设备选型所需的基础资料应包含下列主要内容：</w:t>
      </w:r>
    </w:p>
    <w:p w14:paraId="056169A1">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rPr>
        <w:t>施工图深化模型</w:t>
      </w:r>
      <w:r>
        <w:rPr>
          <w:rFonts w:hint="eastAsia" w:ascii="宋体" w:hAnsi="宋体" w:eastAsia="宋体"/>
          <w:bCs/>
          <w:color w:val="auto"/>
          <w:szCs w:val="32"/>
          <w:highlight w:val="none"/>
        </w:rPr>
        <w:t>；</w:t>
      </w:r>
    </w:p>
    <w:p w14:paraId="051E0016">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lang w:bidi="ar"/>
        </w:rPr>
        <w:t>市政工程设计要求及技术规范；</w:t>
      </w:r>
    </w:p>
    <w:p w14:paraId="6AF6011D">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lang w:bidi="ar"/>
        </w:rPr>
        <w:t>设备性能参数数据库；</w:t>
      </w:r>
    </w:p>
    <w:p w14:paraId="7A95AD6B">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lang w:bidi="ar"/>
        </w:rPr>
        <w:t>项目预算及成本控制指标。</w:t>
      </w:r>
    </w:p>
    <w:p w14:paraId="5B2AD3B0">
      <w:pPr>
        <w:pStyle w:val="4"/>
        <w:numPr>
          <w:ilvl w:val="2"/>
          <w:numId w:val="14"/>
        </w:numPr>
        <w:rPr>
          <w:rFonts w:hint="eastAsia"/>
          <w:color w:val="auto"/>
          <w:highlight w:val="none"/>
        </w:rPr>
      </w:pPr>
      <w:r>
        <w:rPr>
          <w:rFonts w:hint="eastAsia"/>
          <w:color w:val="auto"/>
          <w:highlight w:val="none"/>
        </w:rPr>
        <w:t>　设备选型宜按下列程序实施：</w:t>
      </w:r>
    </w:p>
    <w:p w14:paraId="1507DD7C">
      <w:pPr>
        <w:numPr>
          <w:ilvl w:val="0"/>
          <w:numId w:val="52"/>
        </w:numPr>
        <w:ind w:firstLine="420"/>
        <w:rPr>
          <w:rFonts w:hint="eastAsia" w:ascii="宋体" w:hAnsi="宋体" w:eastAsia="宋体"/>
          <w:bCs/>
          <w:color w:val="auto"/>
          <w:szCs w:val="32"/>
          <w:highlight w:val="none"/>
        </w:rPr>
      </w:pPr>
      <w:r>
        <w:rPr>
          <w:rFonts w:hint="eastAsia" w:eastAsia="宋体"/>
          <w:color w:val="auto"/>
          <w:highlight w:val="none"/>
          <w:lang w:bidi="ar"/>
        </w:rPr>
        <w:t>基于施工图深化模型，结合工程设计要求及技术规范，确定各区域所需设备的类型、数量及大致安装位置，设备性能参数数据库中筛选符合要求的设备选型模型；</w:t>
      </w:r>
    </w:p>
    <w:p w14:paraId="69C889A7">
      <w:pPr>
        <w:numPr>
          <w:ilvl w:val="0"/>
          <w:numId w:val="52"/>
        </w:numPr>
        <w:ind w:firstLine="420"/>
        <w:rPr>
          <w:rFonts w:hint="eastAsia" w:ascii="宋体" w:hAnsi="宋体" w:eastAsia="宋体"/>
          <w:bCs/>
          <w:color w:val="auto"/>
          <w:szCs w:val="32"/>
          <w:highlight w:val="none"/>
        </w:rPr>
      </w:pPr>
      <w:r>
        <w:rPr>
          <w:rFonts w:hint="eastAsia" w:eastAsia="宋体"/>
          <w:color w:val="auto"/>
          <w:highlight w:val="none"/>
          <w:lang w:bidi="ar"/>
        </w:rPr>
        <w:t>依据项目预算及成本控制指标，对筛选出的设备进行性价比分析，确定初步选型方案；</w:t>
      </w:r>
    </w:p>
    <w:p w14:paraId="4D55C0EE">
      <w:pPr>
        <w:numPr>
          <w:ilvl w:val="0"/>
          <w:numId w:val="52"/>
        </w:numPr>
        <w:ind w:firstLine="420"/>
        <w:rPr>
          <w:rFonts w:hint="eastAsia" w:ascii="宋体" w:hAnsi="宋体" w:eastAsia="宋体"/>
          <w:bCs/>
          <w:color w:val="auto"/>
          <w:szCs w:val="32"/>
          <w:highlight w:val="none"/>
        </w:rPr>
      </w:pPr>
      <w:r>
        <w:rPr>
          <w:rFonts w:hint="eastAsia" w:eastAsia="宋体"/>
          <w:color w:val="auto"/>
          <w:highlight w:val="none"/>
          <w:lang w:bidi="ar"/>
        </w:rPr>
        <w:t>对初步方案进行模拟分析，如能耗模拟、运行稳定性模拟等，评估其对整个市政地下空间系统的影响，并根据模拟评估结果优化设备选型方案，并生成设备选型报告。</w:t>
      </w:r>
    </w:p>
    <w:p w14:paraId="6DD74E90">
      <w:pPr>
        <w:pStyle w:val="4"/>
        <w:numPr>
          <w:ilvl w:val="2"/>
          <w:numId w:val="14"/>
        </w:numPr>
        <w:rPr>
          <w:rFonts w:hint="eastAsia"/>
          <w:color w:val="auto"/>
          <w:highlight w:val="none"/>
        </w:rPr>
      </w:pPr>
      <w:r>
        <w:rPr>
          <w:rFonts w:hint="eastAsia"/>
          <w:color w:val="auto"/>
          <w:highlight w:val="none"/>
        </w:rPr>
        <w:t>　</w:t>
      </w:r>
      <w:r>
        <w:rPr>
          <w:rFonts w:hint="eastAsia"/>
          <w:color w:val="auto"/>
          <w:highlight w:val="none"/>
          <w:lang w:val="en-US" w:eastAsia="zh-CN"/>
        </w:rPr>
        <w:t>设备选型</w:t>
      </w:r>
      <w:r>
        <w:rPr>
          <w:rFonts w:hint="eastAsia"/>
          <w:color w:val="auto"/>
          <w:highlight w:val="none"/>
        </w:rPr>
        <w:t>实施后的成果宜包含下列内容：</w:t>
      </w:r>
    </w:p>
    <w:p w14:paraId="77EDDDEC">
      <w:pPr>
        <w:numPr>
          <w:ilvl w:val="0"/>
          <w:numId w:val="53"/>
        </w:numPr>
        <w:ind w:firstLine="420"/>
        <w:rPr>
          <w:rFonts w:hint="eastAsia" w:ascii="宋体" w:hAnsi="宋体" w:eastAsia="宋体"/>
          <w:bCs/>
          <w:color w:val="auto"/>
          <w:szCs w:val="32"/>
          <w:highlight w:val="none"/>
        </w:rPr>
      </w:pPr>
      <w:r>
        <w:rPr>
          <w:rFonts w:hint="eastAsia" w:eastAsia="宋体"/>
          <w:color w:val="auto"/>
          <w:highlight w:val="none"/>
          <w:lang w:bidi="ar"/>
        </w:rPr>
        <w:t>设备选型模型</w:t>
      </w:r>
      <w:r>
        <w:rPr>
          <w:rFonts w:hint="eastAsia" w:ascii="宋体" w:hAnsi="宋体" w:eastAsia="宋体"/>
          <w:bCs/>
          <w:color w:val="auto"/>
          <w:szCs w:val="32"/>
          <w:highlight w:val="none"/>
        </w:rPr>
        <w:t>；</w:t>
      </w:r>
    </w:p>
    <w:p w14:paraId="7B67B16C">
      <w:pPr>
        <w:numPr>
          <w:ilvl w:val="0"/>
          <w:numId w:val="5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初步选项方案；</w:t>
      </w:r>
    </w:p>
    <w:p w14:paraId="540E84D4">
      <w:pPr>
        <w:numPr>
          <w:ilvl w:val="0"/>
          <w:numId w:val="5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设备选型报告。</w:t>
      </w:r>
    </w:p>
    <w:p w14:paraId="4B09B3D2">
      <w:pPr>
        <w:pStyle w:val="2"/>
        <w:numPr>
          <w:ilvl w:val="0"/>
          <w:numId w:val="14"/>
        </w:numPr>
        <w:rPr>
          <w:rFonts w:hint="eastAsia"/>
          <w:color w:val="auto"/>
          <w:highlight w:val="none"/>
        </w:rPr>
      </w:pPr>
      <w:r>
        <w:rPr>
          <w:rFonts w:hint="eastAsia"/>
          <w:color w:val="auto"/>
          <w:highlight w:val="none"/>
        </w:rPr>
        <w:t>　</w:t>
      </w:r>
      <w:bookmarkStart w:id="159" w:name="_Toc513"/>
      <w:bookmarkStart w:id="160" w:name="_Toc19059"/>
      <w:bookmarkStart w:id="161" w:name="_Toc25022"/>
      <w:bookmarkStart w:id="162" w:name="_Toc19632"/>
      <w:bookmarkStart w:id="163" w:name="_Toc13331"/>
      <w:bookmarkStart w:id="164" w:name="_Toc2977"/>
      <w:bookmarkStart w:id="165" w:name="_Toc28220"/>
      <w:bookmarkStart w:id="166" w:name="_Toc15040"/>
      <w:bookmarkStart w:id="167" w:name="_Toc20081"/>
      <w:r>
        <w:rPr>
          <w:rFonts w:hint="eastAsia"/>
          <w:color w:val="auto"/>
          <w:highlight w:val="none"/>
          <w:lang w:val="en-US"/>
        </w:rPr>
        <w:t>施工准备</w:t>
      </w:r>
      <w:r>
        <w:rPr>
          <w:rFonts w:hint="eastAsia"/>
          <w:color w:val="auto"/>
          <w:highlight w:val="none"/>
        </w:rPr>
        <w:t>阶段</w:t>
      </w:r>
      <w:bookmarkEnd w:id="159"/>
      <w:bookmarkEnd w:id="160"/>
      <w:bookmarkEnd w:id="161"/>
      <w:bookmarkEnd w:id="162"/>
      <w:bookmarkEnd w:id="163"/>
      <w:bookmarkEnd w:id="164"/>
      <w:bookmarkEnd w:id="165"/>
      <w:bookmarkEnd w:id="166"/>
      <w:bookmarkEnd w:id="167"/>
    </w:p>
    <w:p w14:paraId="4E4449EB">
      <w:pPr>
        <w:pStyle w:val="3"/>
        <w:numPr>
          <w:ilvl w:val="1"/>
          <w:numId w:val="14"/>
        </w:numPr>
        <w:rPr>
          <w:rFonts w:hint="eastAsia"/>
          <w:color w:val="auto"/>
          <w:highlight w:val="none"/>
        </w:rPr>
      </w:pPr>
      <w:r>
        <w:rPr>
          <w:rFonts w:hint="eastAsia"/>
          <w:color w:val="auto"/>
          <w:highlight w:val="none"/>
        </w:rPr>
        <w:t>　</w:t>
      </w:r>
      <w:bookmarkStart w:id="168" w:name="_Toc3181"/>
      <w:bookmarkStart w:id="169" w:name="_Toc19839"/>
      <w:bookmarkStart w:id="170" w:name="_Toc379"/>
      <w:bookmarkStart w:id="171" w:name="_Toc3051"/>
      <w:bookmarkStart w:id="172" w:name="_Toc12234"/>
      <w:bookmarkStart w:id="173" w:name="_Toc9403"/>
      <w:bookmarkStart w:id="174" w:name="_Toc17420"/>
      <w:bookmarkStart w:id="175" w:name="_Toc31909"/>
      <w:bookmarkStart w:id="176" w:name="_Toc19564"/>
      <w:r>
        <w:rPr>
          <w:rFonts w:hint="eastAsia"/>
          <w:color w:val="auto"/>
          <w:highlight w:val="none"/>
        </w:rPr>
        <w:t>一般规定</w:t>
      </w:r>
      <w:bookmarkEnd w:id="168"/>
      <w:bookmarkEnd w:id="169"/>
      <w:bookmarkEnd w:id="170"/>
      <w:bookmarkEnd w:id="171"/>
      <w:bookmarkEnd w:id="172"/>
      <w:bookmarkEnd w:id="173"/>
      <w:bookmarkEnd w:id="174"/>
      <w:bookmarkEnd w:id="175"/>
      <w:bookmarkEnd w:id="176"/>
    </w:p>
    <w:p w14:paraId="2CD492EA">
      <w:pPr>
        <w:pStyle w:val="4"/>
        <w:numPr>
          <w:ilvl w:val="2"/>
          <w:numId w:val="14"/>
        </w:numPr>
        <w:rPr>
          <w:rFonts w:hint="eastAsia"/>
          <w:color w:val="auto"/>
          <w:highlight w:val="none"/>
        </w:rPr>
      </w:pPr>
      <w:r>
        <w:rPr>
          <w:rFonts w:hint="eastAsia"/>
          <w:color w:val="auto"/>
          <w:highlight w:val="none"/>
        </w:rPr>
        <w:t>　市政地下空间工程在施工准备阶段的主要应用内容宜根据工程实际需求，实施施工场地规划、施工方案模拟、应急预案模拟等应用点。</w:t>
      </w:r>
    </w:p>
    <w:p w14:paraId="7214ECFA">
      <w:pPr>
        <w:pStyle w:val="4"/>
        <w:numPr>
          <w:ilvl w:val="2"/>
          <w:numId w:val="14"/>
        </w:numPr>
        <w:rPr>
          <w:rFonts w:hint="eastAsia"/>
          <w:color w:val="auto"/>
          <w:highlight w:val="none"/>
        </w:rPr>
      </w:pPr>
      <w:r>
        <w:rPr>
          <w:rFonts w:hint="eastAsia"/>
          <w:color w:val="auto"/>
          <w:highlight w:val="none"/>
        </w:rPr>
        <w:t>　施工准备阶段</w:t>
      </w:r>
      <w:r>
        <w:rPr>
          <w:rFonts w:hint="eastAsia"/>
          <w:color w:val="auto"/>
          <w:highlight w:val="none"/>
          <w:lang w:eastAsia="zh-Hans"/>
        </w:rPr>
        <w:t>应结合</w:t>
      </w:r>
      <w:r>
        <w:rPr>
          <w:rFonts w:hint="eastAsia"/>
          <w:color w:val="auto"/>
          <w:highlight w:val="none"/>
        </w:rPr>
        <w:t>施工阶段基础</w:t>
      </w:r>
      <w:r>
        <w:rPr>
          <w:rFonts w:hint="eastAsia"/>
          <w:color w:val="auto"/>
          <w:highlight w:val="none"/>
          <w:lang w:eastAsia="zh-Hans"/>
        </w:rPr>
        <w:t>资料，拆分、细化施工图</w:t>
      </w:r>
      <w:r>
        <w:rPr>
          <w:rFonts w:hint="eastAsia"/>
          <w:color w:val="auto"/>
          <w:highlight w:val="none"/>
        </w:rPr>
        <w:t>深化</w:t>
      </w:r>
      <w:r>
        <w:rPr>
          <w:rFonts w:hint="eastAsia"/>
          <w:color w:val="auto"/>
          <w:highlight w:val="none"/>
          <w:lang w:eastAsia="zh-Hans"/>
        </w:rPr>
        <w:t>模型，建立</w:t>
      </w:r>
      <w:r>
        <w:rPr>
          <w:rFonts w:hint="eastAsia"/>
          <w:color w:val="auto"/>
          <w:highlight w:val="none"/>
        </w:rPr>
        <w:t>施工准备模型，施工准备模型应表达施工范围内地下管网、临时建筑、现场交通</w:t>
      </w:r>
      <w:r>
        <w:rPr>
          <w:rFonts w:hint="eastAsia"/>
          <w:color w:val="auto"/>
          <w:highlight w:val="none"/>
          <w:lang w:eastAsia="zh-Hans"/>
        </w:rPr>
        <w:t>等</w:t>
      </w:r>
      <w:r>
        <w:rPr>
          <w:rFonts w:hint="eastAsia"/>
          <w:color w:val="auto"/>
          <w:highlight w:val="none"/>
        </w:rPr>
        <w:t>信息。</w:t>
      </w:r>
    </w:p>
    <w:p w14:paraId="27D42816">
      <w:pPr>
        <w:pStyle w:val="4"/>
        <w:numPr>
          <w:ilvl w:val="2"/>
          <w:numId w:val="14"/>
        </w:numPr>
        <w:rPr>
          <w:rFonts w:hint="eastAsia"/>
          <w:color w:val="auto"/>
          <w:highlight w:val="none"/>
        </w:rPr>
      </w:pPr>
      <w:r>
        <w:rPr>
          <w:rFonts w:hint="eastAsia"/>
          <w:color w:val="auto"/>
          <w:highlight w:val="none"/>
        </w:rPr>
        <w:t>　施工准备阶段应以施工准备模型为基础，根据各应用点需求集成施工准备阶段工程资料，形成施工场地模型、施工方案模型等。</w:t>
      </w:r>
    </w:p>
    <w:p w14:paraId="111291D0">
      <w:pPr>
        <w:pStyle w:val="3"/>
        <w:numPr>
          <w:ilvl w:val="1"/>
          <w:numId w:val="14"/>
        </w:numPr>
        <w:rPr>
          <w:rFonts w:hint="eastAsia"/>
          <w:color w:val="auto"/>
          <w:highlight w:val="none"/>
        </w:rPr>
      </w:pPr>
      <w:r>
        <w:rPr>
          <w:rFonts w:hint="eastAsia"/>
          <w:color w:val="auto"/>
          <w:highlight w:val="none"/>
        </w:rPr>
        <w:t>　</w:t>
      </w:r>
      <w:bookmarkStart w:id="177" w:name="_Toc429"/>
      <w:bookmarkStart w:id="178" w:name="_Toc7338"/>
      <w:bookmarkStart w:id="179" w:name="_Toc20442"/>
      <w:bookmarkStart w:id="180" w:name="_Toc7959"/>
      <w:bookmarkStart w:id="181" w:name="_Toc24216"/>
      <w:bookmarkStart w:id="182" w:name="_Toc20677"/>
      <w:bookmarkStart w:id="183" w:name="_Toc1629"/>
      <w:bookmarkStart w:id="184" w:name="_Toc3913"/>
      <w:bookmarkStart w:id="185" w:name="_Toc24801"/>
      <w:r>
        <w:rPr>
          <w:rFonts w:hint="eastAsia"/>
          <w:color w:val="auto"/>
          <w:highlight w:val="none"/>
        </w:rPr>
        <w:t>施工场地规划</w:t>
      </w:r>
      <w:bookmarkEnd w:id="177"/>
      <w:bookmarkEnd w:id="178"/>
      <w:bookmarkEnd w:id="179"/>
      <w:bookmarkEnd w:id="180"/>
      <w:bookmarkEnd w:id="181"/>
      <w:bookmarkEnd w:id="182"/>
      <w:bookmarkEnd w:id="183"/>
      <w:bookmarkEnd w:id="184"/>
      <w:bookmarkEnd w:id="185"/>
    </w:p>
    <w:p w14:paraId="1070866C">
      <w:pPr>
        <w:pStyle w:val="4"/>
        <w:numPr>
          <w:ilvl w:val="2"/>
          <w:numId w:val="14"/>
        </w:numPr>
        <w:rPr>
          <w:rFonts w:hint="eastAsia"/>
          <w:color w:val="auto"/>
          <w:highlight w:val="none"/>
        </w:rPr>
      </w:pPr>
      <w:r>
        <w:rPr>
          <w:rFonts w:hint="eastAsia"/>
          <w:color w:val="auto"/>
          <w:highlight w:val="none"/>
        </w:rPr>
        <w:t>　施工场地规划的数据资料应包含下列主要内容：</w:t>
      </w:r>
    </w:p>
    <w:p w14:paraId="47E19701">
      <w:pPr>
        <w:numPr>
          <w:ilvl w:val="0"/>
          <w:numId w:val="5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临建规划；</w:t>
      </w:r>
    </w:p>
    <w:p w14:paraId="346ADCED">
      <w:pPr>
        <w:numPr>
          <w:ilvl w:val="0"/>
          <w:numId w:val="54"/>
        </w:numPr>
        <w:ind w:firstLine="420"/>
        <w:rPr>
          <w:rFonts w:hint="eastAsia" w:ascii="宋体" w:hAnsi="宋体" w:eastAsia="宋体"/>
          <w:bCs/>
          <w:color w:val="auto"/>
          <w:szCs w:val="32"/>
          <w:highlight w:val="none"/>
        </w:rPr>
      </w:pPr>
      <w:r>
        <w:rPr>
          <w:rFonts w:hint="eastAsia" w:eastAsia="宋体"/>
          <w:color w:val="auto"/>
          <w:highlight w:val="none"/>
        </w:rPr>
        <w:t>施工准备模型；</w:t>
      </w:r>
    </w:p>
    <w:p w14:paraId="02AA4898">
      <w:pPr>
        <w:numPr>
          <w:ilvl w:val="0"/>
          <w:numId w:val="54"/>
        </w:numPr>
        <w:ind w:firstLine="420"/>
        <w:rPr>
          <w:rFonts w:hint="eastAsia" w:ascii="宋体" w:hAnsi="宋体" w:eastAsia="宋体"/>
          <w:bCs/>
          <w:color w:val="auto"/>
          <w:szCs w:val="32"/>
          <w:highlight w:val="none"/>
        </w:rPr>
      </w:pPr>
      <w:r>
        <w:rPr>
          <w:rFonts w:hint="eastAsia" w:eastAsia="宋体"/>
          <w:color w:val="auto"/>
          <w:highlight w:val="none"/>
        </w:rPr>
        <w:t>施工进度计划；</w:t>
      </w:r>
    </w:p>
    <w:p w14:paraId="59AF9030">
      <w:pPr>
        <w:numPr>
          <w:ilvl w:val="0"/>
          <w:numId w:val="54"/>
        </w:numPr>
        <w:ind w:firstLine="420"/>
        <w:rPr>
          <w:rFonts w:hint="eastAsia" w:ascii="宋体" w:hAnsi="宋体" w:eastAsia="宋体"/>
          <w:bCs/>
          <w:color w:val="auto"/>
          <w:szCs w:val="32"/>
          <w:highlight w:val="none"/>
        </w:rPr>
      </w:pPr>
      <w:r>
        <w:rPr>
          <w:rFonts w:hint="eastAsia" w:eastAsia="宋体"/>
          <w:color w:val="auto"/>
          <w:highlight w:val="none"/>
        </w:rPr>
        <w:t>施工机械设备选型。</w:t>
      </w:r>
    </w:p>
    <w:p w14:paraId="3F3B5848">
      <w:pPr>
        <w:pStyle w:val="4"/>
        <w:numPr>
          <w:ilvl w:val="2"/>
          <w:numId w:val="14"/>
        </w:numPr>
        <w:rPr>
          <w:rFonts w:hint="eastAsia"/>
          <w:color w:val="auto"/>
          <w:highlight w:val="none"/>
        </w:rPr>
      </w:pPr>
      <w:r>
        <w:rPr>
          <w:rFonts w:hint="eastAsia"/>
          <w:color w:val="auto"/>
          <w:highlight w:val="none"/>
        </w:rPr>
        <w:t>　施工场地规划宜按下列</w:t>
      </w:r>
      <w:r>
        <w:rPr>
          <w:rFonts w:hint="eastAsia"/>
          <w:color w:val="auto"/>
          <w:highlight w:val="none"/>
          <w:lang w:eastAsia="zh-CN"/>
        </w:rPr>
        <w:t>程序实施</w:t>
      </w:r>
      <w:r>
        <w:rPr>
          <w:rFonts w:hint="eastAsia"/>
          <w:color w:val="auto"/>
          <w:highlight w:val="none"/>
        </w:rPr>
        <w:t>：</w:t>
      </w:r>
    </w:p>
    <w:p w14:paraId="62B6A0A4">
      <w:pPr>
        <w:numPr>
          <w:ilvl w:val="0"/>
          <w:numId w:val="5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基于施工准备模型，结合临建规划、施工机械设备选型，建立施工场地模型；</w:t>
      </w:r>
    </w:p>
    <w:p w14:paraId="133D8F4B">
      <w:pPr>
        <w:numPr>
          <w:ilvl w:val="0"/>
          <w:numId w:val="5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结合施工场地模型和施工进度计划，进行施工场地布置模拟，形成施工场地规划报告。</w:t>
      </w:r>
    </w:p>
    <w:p w14:paraId="3BAEF04F">
      <w:pPr>
        <w:pStyle w:val="4"/>
        <w:numPr>
          <w:ilvl w:val="2"/>
          <w:numId w:val="14"/>
        </w:numPr>
        <w:rPr>
          <w:rFonts w:hint="eastAsia"/>
          <w:color w:val="auto"/>
          <w:highlight w:val="none"/>
        </w:rPr>
      </w:pPr>
      <w:r>
        <w:rPr>
          <w:rFonts w:hint="eastAsia"/>
          <w:color w:val="auto"/>
          <w:highlight w:val="none"/>
        </w:rPr>
        <w:t>　施工场地规划的应用成果宜包含下列内容：</w:t>
      </w:r>
    </w:p>
    <w:p w14:paraId="4145EC27">
      <w:pPr>
        <w:numPr>
          <w:ilvl w:val="0"/>
          <w:numId w:val="5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施工场地模型；</w:t>
      </w:r>
    </w:p>
    <w:p w14:paraId="32816BC3">
      <w:pPr>
        <w:numPr>
          <w:ilvl w:val="0"/>
          <w:numId w:val="5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施工场地规划报告。</w:t>
      </w:r>
    </w:p>
    <w:p w14:paraId="2A0FD848">
      <w:pPr>
        <w:pStyle w:val="3"/>
        <w:numPr>
          <w:ilvl w:val="1"/>
          <w:numId w:val="14"/>
        </w:numPr>
        <w:rPr>
          <w:rFonts w:hint="eastAsia"/>
          <w:color w:val="auto"/>
          <w:highlight w:val="none"/>
        </w:rPr>
      </w:pPr>
      <w:r>
        <w:rPr>
          <w:rFonts w:hint="eastAsia"/>
          <w:color w:val="auto"/>
          <w:highlight w:val="none"/>
        </w:rPr>
        <w:t>　</w:t>
      </w:r>
      <w:bookmarkStart w:id="186" w:name="_Toc15668"/>
      <w:bookmarkStart w:id="187" w:name="_Toc14281"/>
      <w:bookmarkStart w:id="188" w:name="_Toc14858"/>
      <w:bookmarkStart w:id="189" w:name="_Toc20961"/>
      <w:bookmarkStart w:id="190" w:name="_Toc21252"/>
      <w:bookmarkStart w:id="191" w:name="_Toc7150"/>
      <w:bookmarkStart w:id="192" w:name="_Toc31383"/>
      <w:bookmarkStart w:id="193" w:name="_Toc31305"/>
      <w:bookmarkStart w:id="194" w:name="_Toc14819"/>
      <w:r>
        <w:rPr>
          <w:rFonts w:hint="eastAsia"/>
          <w:color w:val="auto"/>
          <w:highlight w:val="none"/>
        </w:rPr>
        <w:t>施工方案模拟</w:t>
      </w:r>
      <w:bookmarkEnd w:id="186"/>
      <w:bookmarkEnd w:id="187"/>
      <w:bookmarkEnd w:id="188"/>
      <w:bookmarkEnd w:id="189"/>
      <w:bookmarkEnd w:id="190"/>
      <w:bookmarkEnd w:id="191"/>
      <w:bookmarkEnd w:id="192"/>
      <w:bookmarkEnd w:id="193"/>
      <w:bookmarkEnd w:id="194"/>
    </w:p>
    <w:p w14:paraId="3CE8FDBA">
      <w:pPr>
        <w:pStyle w:val="4"/>
        <w:numPr>
          <w:ilvl w:val="2"/>
          <w:numId w:val="14"/>
        </w:numPr>
        <w:rPr>
          <w:rFonts w:hint="eastAsia"/>
          <w:color w:val="auto"/>
          <w:highlight w:val="none"/>
        </w:rPr>
      </w:pPr>
      <w:r>
        <w:rPr>
          <w:rFonts w:hint="eastAsia"/>
          <w:color w:val="auto"/>
          <w:highlight w:val="none"/>
        </w:rPr>
        <w:t>　施工方案模拟的数据资料应包含下列主要内容：</w:t>
      </w:r>
    </w:p>
    <w:p w14:paraId="515A8B8E">
      <w:pPr>
        <w:numPr>
          <w:ilvl w:val="0"/>
          <w:numId w:val="57"/>
        </w:numPr>
        <w:ind w:firstLine="420"/>
        <w:rPr>
          <w:rFonts w:hint="eastAsia" w:ascii="宋体" w:hAnsi="宋体" w:eastAsia="宋体"/>
          <w:bCs/>
          <w:color w:val="auto"/>
          <w:szCs w:val="32"/>
          <w:highlight w:val="none"/>
        </w:rPr>
      </w:pPr>
      <w:r>
        <w:rPr>
          <w:rFonts w:hint="eastAsia" w:eastAsia="宋体"/>
          <w:color w:val="auto"/>
          <w:highlight w:val="none"/>
        </w:rPr>
        <w:t>施工图图纸</w:t>
      </w:r>
      <w:r>
        <w:rPr>
          <w:rFonts w:hint="eastAsia" w:ascii="宋体" w:hAnsi="宋体" w:eastAsia="宋体"/>
          <w:bCs/>
          <w:color w:val="auto"/>
          <w:szCs w:val="32"/>
          <w:highlight w:val="none"/>
        </w:rPr>
        <w:t>；</w:t>
      </w:r>
    </w:p>
    <w:p w14:paraId="19A8AF43">
      <w:pPr>
        <w:numPr>
          <w:ilvl w:val="0"/>
          <w:numId w:val="5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施工准备模型；</w:t>
      </w:r>
    </w:p>
    <w:p w14:paraId="77586DA9">
      <w:pPr>
        <w:numPr>
          <w:ilvl w:val="0"/>
          <w:numId w:val="57"/>
        </w:numPr>
        <w:tabs>
          <w:tab w:val="left" w:pos="3085"/>
        </w:tabs>
        <w:ind w:firstLine="420"/>
        <w:rPr>
          <w:rFonts w:hint="eastAsia" w:ascii="宋体" w:hAnsi="宋体" w:eastAsia="宋体"/>
          <w:bCs/>
          <w:color w:val="auto"/>
          <w:szCs w:val="32"/>
          <w:highlight w:val="none"/>
        </w:rPr>
      </w:pPr>
      <w:r>
        <w:rPr>
          <w:rFonts w:hint="eastAsia"/>
          <w:color w:val="auto"/>
          <w:highlight w:val="none"/>
        </w:rPr>
        <w:t>施工场地模型；</w:t>
      </w:r>
    </w:p>
    <w:p w14:paraId="1673E1CF">
      <w:pPr>
        <w:numPr>
          <w:ilvl w:val="0"/>
          <w:numId w:val="57"/>
        </w:numPr>
        <w:tabs>
          <w:tab w:val="left" w:pos="3085"/>
        </w:tabs>
        <w:ind w:firstLine="420"/>
        <w:rPr>
          <w:rFonts w:hint="eastAsia" w:ascii="宋体" w:hAnsi="宋体" w:eastAsia="宋体"/>
          <w:bCs/>
          <w:color w:val="auto"/>
          <w:szCs w:val="32"/>
          <w:highlight w:val="none"/>
        </w:rPr>
      </w:pPr>
      <w:r>
        <w:rPr>
          <w:rFonts w:hint="eastAsia"/>
          <w:color w:val="auto"/>
          <w:highlight w:val="none"/>
        </w:rPr>
        <w:t>施工组织方案（含施工方案、施工进度计划）</w:t>
      </w:r>
      <w:r>
        <w:rPr>
          <w:rFonts w:hint="eastAsia" w:ascii="宋体" w:hAnsi="宋体" w:eastAsia="宋体"/>
          <w:bCs/>
          <w:color w:val="auto"/>
          <w:szCs w:val="32"/>
          <w:highlight w:val="none"/>
        </w:rPr>
        <w:t>；</w:t>
      </w:r>
      <w:r>
        <w:rPr>
          <w:color w:val="auto"/>
          <w:highlight w:val="none"/>
        </w:rPr>
        <w:tab/>
      </w:r>
    </w:p>
    <w:p w14:paraId="76AA8DF3">
      <w:pPr>
        <w:numPr>
          <w:ilvl w:val="0"/>
          <w:numId w:val="5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大型设备模型；</w:t>
      </w:r>
    </w:p>
    <w:p w14:paraId="0814959F">
      <w:pPr>
        <w:numPr>
          <w:ilvl w:val="0"/>
          <w:numId w:val="5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大型设备运输路径。</w:t>
      </w:r>
    </w:p>
    <w:p w14:paraId="18BCAF6F">
      <w:pPr>
        <w:pStyle w:val="4"/>
        <w:numPr>
          <w:ilvl w:val="2"/>
          <w:numId w:val="14"/>
        </w:numPr>
        <w:rPr>
          <w:rFonts w:hint="eastAsia"/>
          <w:color w:val="auto"/>
          <w:highlight w:val="none"/>
        </w:rPr>
      </w:pPr>
      <w:r>
        <w:rPr>
          <w:rFonts w:hint="eastAsia"/>
          <w:color w:val="auto"/>
          <w:highlight w:val="none"/>
        </w:rPr>
        <w:t>　施工方案模拟宜按下列</w:t>
      </w:r>
      <w:r>
        <w:rPr>
          <w:rFonts w:hint="eastAsia"/>
          <w:color w:val="auto"/>
          <w:highlight w:val="none"/>
          <w:lang w:eastAsia="zh-CN"/>
        </w:rPr>
        <w:t>程序实施</w:t>
      </w:r>
      <w:r>
        <w:rPr>
          <w:rFonts w:hint="eastAsia"/>
          <w:color w:val="auto"/>
          <w:highlight w:val="none"/>
        </w:rPr>
        <w:t>：</w:t>
      </w:r>
    </w:p>
    <w:p w14:paraId="19A2F16B">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收集数据，并确保数据的准确性；</w:t>
      </w:r>
    </w:p>
    <w:p w14:paraId="1B146346">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根据施工方案以及施工组织设计，将施工过程附加信息添加到施工准备模型中，创建施工方案模型。该施工方案模型应包含工程实体和现场施工环境、施工机械、施工方法和顺序、所需临时及永久设施安装的位置；</w:t>
      </w:r>
    </w:p>
    <w:p w14:paraId="78314041">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整合模型。将已有模型导入模拟软件进行整合，并依据方案设定大型设备</w:t>
      </w:r>
      <w:r>
        <w:rPr>
          <w:rFonts w:hint="eastAsia" w:ascii="宋体" w:hAnsi="宋体" w:eastAsia="宋体"/>
          <w:bCs/>
          <w:color w:val="auto"/>
          <w:szCs w:val="32"/>
          <w:highlight w:val="none"/>
          <w:lang w:val="en-US" w:eastAsia="zh-CN"/>
        </w:rPr>
        <w:t>运输</w:t>
      </w:r>
      <w:r>
        <w:rPr>
          <w:rFonts w:hint="eastAsia" w:ascii="宋体" w:hAnsi="宋体" w:eastAsia="宋体"/>
          <w:bCs/>
          <w:color w:val="auto"/>
          <w:szCs w:val="32"/>
          <w:highlight w:val="none"/>
        </w:rPr>
        <w:t>路径；</w:t>
      </w:r>
    </w:p>
    <w:p w14:paraId="147AF6ED">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利用模拟软件对建筑信息模型的大型设备运输路径进行模拟，核查调整大型设备运输路径方案；</w:t>
      </w:r>
    </w:p>
    <w:p w14:paraId="4C5F9892">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对施工方案进行模拟，辅助项目选择最优施工方案；</w:t>
      </w:r>
    </w:p>
    <w:p w14:paraId="0A6CF4E8">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创建优化后的施工方案模型，利用软件模拟演示，生成施工方案模拟视频</w:t>
      </w:r>
      <w:r>
        <w:rPr>
          <w:rFonts w:hint="eastAsia" w:ascii="宋体" w:hAnsi="宋体" w:eastAsia="宋体"/>
          <w:bCs/>
          <w:color w:val="auto"/>
          <w:szCs w:val="32"/>
          <w:highlight w:val="none"/>
          <w:lang w:eastAsia="zh-CN"/>
        </w:rPr>
        <w:t>。</w:t>
      </w:r>
    </w:p>
    <w:p w14:paraId="3C8D3778">
      <w:pPr>
        <w:pStyle w:val="4"/>
        <w:numPr>
          <w:ilvl w:val="2"/>
          <w:numId w:val="14"/>
        </w:numPr>
        <w:rPr>
          <w:rFonts w:hint="eastAsia"/>
          <w:color w:val="auto"/>
          <w:highlight w:val="none"/>
        </w:rPr>
      </w:pPr>
      <w:r>
        <w:rPr>
          <w:rFonts w:hint="eastAsia"/>
          <w:color w:val="auto"/>
          <w:highlight w:val="none"/>
        </w:rPr>
        <w:t>　施工方案模拟的应用成果宜包含下列内容：</w:t>
      </w:r>
    </w:p>
    <w:p w14:paraId="1095D65B">
      <w:pPr>
        <w:numPr>
          <w:ilvl w:val="0"/>
          <w:numId w:val="5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施工方案模型；</w:t>
      </w:r>
    </w:p>
    <w:p w14:paraId="5F4D19C7">
      <w:pPr>
        <w:numPr>
          <w:ilvl w:val="0"/>
          <w:numId w:val="5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施工方案模拟视频；</w:t>
      </w:r>
    </w:p>
    <w:p w14:paraId="37FAC5CA">
      <w:pPr>
        <w:numPr>
          <w:ilvl w:val="0"/>
          <w:numId w:val="5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大型设备运输路径模拟视频。</w:t>
      </w:r>
    </w:p>
    <w:p w14:paraId="2A829879">
      <w:pPr>
        <w:pStyle w:val="3"/>
        <w:numPr>
          <w:ilvl w:val="1"/>
          <w:numId w:val="14"/>
        </w:numPr>
        <w:rPr>
          <w:rFonts w:hint="eastAsia"/>
          <w:color w:val="auto"/>
          <w:highlight w:val="none"/>
        </w:rPr>
      </w:pPr>
      <w:r>
        <w:rPr>
          <w:rFonts w:hint="eastAsia"/>
          <w:color w:val="auto"/>
          <w:highlight w:val="none"/>
        </w:rPr>
        <w:t>　</w:t>
      </w:r>
      <w:bookmarkStart w:id="195" w:name="_Toc20873"/>
      <w:bookmarkStart w:id="196" w:name="_Toc12810"/>
      <w:bookmarkStart w:id="197" w:name="_Toc4251"/>
      <w:bookmarkStart w:id="198" w:name="_Toc7567"/>
      <w:bookmarkStart w:id="199" w:name="_Toc21163"/>
      <w:bookmarkStart w:id="200" w:name="_Toc1979"/>
      <w:bookmarkStart w:id="201" w:name="_Toc1066"/>
      <w:bookmarkStart w:id="202" w:name="_Toc13215"/>
      <w:bookmarkStart w:id="203" w:name="_Toc2266"/>
      <w:r>
        <w:rPr>
          <w:rFonts w:hint="eastAsia"/>
          <w:color w:val="auto"/>
          <w:highlight w:val="none"/>
        </w:rPr>
        <w:t>应急预案模拟</w:t>
      </w:r>
      <w:bookmarkEnd w:id="195"/>
      <w:bookmarkEnd w:id="196"/>
      <w:bookmarkEnd w:id="197"/>
      <w:bookmarkEnd w:id="198"/>
      <w:bookmarkEnd w:id="199"/>
      <w:bookmarkEnd w:id="200"/>
      <w:bookmarkEnd w:id="201"/>
      <w:bookmarkEnd w:id="202"/>
      <w:bookmarkEnd w:id="203"/>
    </w:p>
    <w:p w14:paraId="6F20155F">
      <w:pPr>
        <w:pStyle w:val="4"/>
        <w:numPr>
          <w:ilvl w:val="2"/>
          <w:numId w:val="14"/>
        </w:numPr>
        <w:rPr>
          <w:rFonts w:hint="eastAsia"/>
          <w:color w:val="auto"/>
          <w:highlight w:val="none"/>
        </w:rPr>
      </w:pPr>
      <w:r>
        <w:rPr>
          <w:rFonts w:hint="eastAsia"/>
          <w:color w:val="auto"/>
          <w:highlight w:val="none"/>
        </w:rPr>
        <w:t>　应急预案模拟的数据资料应包含下列主要内容：</w:t>
      </w:r>
    </w:p>
    <w:p w14:paraId="3CE0DF4A">
      <w:pPr>
        <w:numPr>
          <w:ilvl w:val="0"/>
          <w:numId w:val="6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各专业施工方案模型；</w:t>
      </w:r>
    </w:p>
    <w:p w14:paraId="19E2E470">
      <w:pPr>
        <w:numPr>
          <w:ilvl w:val="0"/>
          <w:numId w:val="60"/>
        </w:numPr>
        <w:ind w:firstLine="420"/>
        <w:rPr>
          <w:rFonts w:hint="eastAsia" w:ascii="宋体" w:hAnsi="宋体" w:eastAsia="宋体"/>
          <w:bCs/>
          <w:color w:val="auto"/>
          <w:szCs w:val="32"/>
          <w:highlight w:val="none"/>
        </w:rPr>
      </w:pPr>
      <w:r>
        <w:rPr>
          <w:rFonts w:hint="eastAsia" w:eastAsia="宋体"/>
          <w:color w:val="auto"/>
          <w:highlight w:val="none"/>
        </w:rPr>
        <w:t>各情景下的应急预案；</w:t>
      </w:r>
    </w:p>
    <w:p w14:paraId="30626C43">
      <w:pPr>
        <w:numPr>
          <w:ilvl w:val="0"/>
          <w:numId w:val="60"/>
        </w:numPr>
        <w:ind w:firstLine="420"/>
        <w:rPr>
          <w:rFonts w:hint="eastAsia" w:ascii="宋体" w:hAnsi="宋体" w:eastAsia="宋体"/>
          <w:bCs/>
          <w:color w:val="auto"/>
          <w:szCs w:val="32"/>
          <w:highlight w:val="none"/>
        </w:rPr>
      </w:pPr>
      <w:r>
        <w:rPr>
          <w:rFonts w:hint="eastAsia" w:eastAsia="宋体"/>
          <w:color w:val="auto"/>
          <w:highlight w:val="none"/>
        </w:rPr>
        <w:t>施工准备模型</w:t>
      </w:r>
      <w:r>
        <w:rPr>
          <w:rFonts w:hint="eastAsia" w:ascii="宋体" w:hAnsi="宋体" w:eastAsia="宋体"/>
          <w:bCs/>
          <w:color w:val="auto"/>
          <w:szCs w:val="32"/>
          <w:highlight w:val="none"/>
        </w:rPr>
        <w:t>。</w:t>
      </w:r>
    </w:p>
    <w:p w14:paraId="4AE01C6F">
      <w:pPr>
        <w:pStyle w:val="4"/>
        <w:numPr>
          <w:ilvl w:val="2"/>
          <w:numId w:val="14"/>
        </w:numPr>
        <w:rPr>
          <w:rFonts w:hint="eastAsia"/>
          <w:color w:val="auto"/>
          <w:highlight w:val="none"/>
        </w:rPr>
      </w:pPr>
      <w:r>
        <w:rPr>
          <w:rFonts w:hint="eastAsia"/>
          <w:color w:val="auto"/>
          <w:highlight w:val="none"/>
        </w:rPr>
        <w:t>　应急预案模拟宜按下列</w:t>
      </w:r>
      <w:r>
        <w:rPr>
          <w:rFonts w:hint="eastAsia"/>
          <w:color w:val="auto"/>
          <w:highlight w:val="none"/>
          <w:lang w:eastAsia="zh-CN"/>
        </w:rPr>
        <w:t>程序实施</w:t>
      </w:r>
      <w:r>
        <w:rPr>
          <w:rFonts w:hint="eastAsia"/>
          <w:color w:val="auto"/>
          <w:highlight w:val="none"/>
        </w:rPr>
        <w:t>：</w:t>
      </w:r>
    </w:p>
    <w:p w14:paraId="12AF9CDA">
      <w:pPr>
        <w:numPr>
          <w:ilvl w:val="0"/>
          <w:numId w:val="6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收集数据，并确保数据的准确性；</w:t>
      </w:r>
    </w:p>
    <w:p w14:paraId="76211874">
      <w:pPr>
        <w:numPr>
          <w:ilvl w:val="0"/>
          <w:numId w:val="6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模拟应急预案情景。将定义的应急预案导入模型中，模拟相关的灾害发生情况，生成应急预案模拟视频；</w:t>
      </w:r>
    </w:p>
    <w:p w14:paraId="6EB4225C">
      <w:pPr>
        <w:numPr>
          <w:ilvl w:val="0"/>
          <w:numId w:val="6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通过模拟应急情景，分析应急预案的合理性和安全性，评估紧急通道的通行能力，预测人员疏散的时间和效率等。根据模拟结果并结合实际情况提出修改意见，生成应急预案优化报告。</w:t>
      </w:r>
    </w:p>
    <w:p w14:paraId="0F9705F5">
      <w:pPr>
        <w:pStyle w:val="4"/>
        <w:numPr>
          <w:ilvl w:val="2"/>
          <w:numId w:val="14"/>
        </w:numPr>
        <w:rPr>
          <w:rFonts w:hint="eastAsia"/>
          <w:color w:val="auto"/>
          <w:highlight w:val="none"/>
        </w:rPr>
      </w:pPr>
      <w:r>
        <w:rPr>
          <w:rFonts w:hint="eastAsia"/>
          <w:color w:val="auto"/>
          <w:highlight w:val="none"/>
        </w:rPr>
        <w:t>　应急预案模拟的应用成果宜包含下列内容：</w:t>
      </w:r>
    </w:p>
    <w:p w14:paraId="2FCC3616">
      <w:pPr>
        <w:numPr>
          <w:ilvl w:val="0"/>
          <w:numId w:val="6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应急预案模拟视频；</w:t>
      </w:r>
    </w:p>
    <w:p w14:paraId="4843B8AB">
      <w:pPr>
        <w:numPr>
          <w:ilvl w:val="0"/>
          <w:numId w:val="6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应急预案优化报告。</w:t>
      </w:r>
    </w:p>
    <w:p w14:paraId="69104751">
      <w:pPr>
        <w:ind w:firstLine="420"/>
        <w:rPr>
          <w:color w:val="auto"/>
          <w:highlight w:val="none"/>
        </w:rPr>
      </w:pPr>
      <w:r>
        <w:rPr>
          <w:rFonts w:hint="eastAsia"/>
          <w:color w:val="auto"/>
          <w:highlight w:val="none"/>
        </w:rPr>
        <w:br w:type="page"/>
      </w:r>
    </w:p>
    <w:p w14:paraId="308CEE68">
      <w:pPr>
        <w:pStyle w:val="2"/>
        <w:keepNext w:val="0"/>
        <w:keepLines w:val="0"/>
        <w:pageBreakBefore w:val="0"/>
        <w:numPr>
          <w:ilvl w:val="0"/>
          <w:numId w:val="14"/>
        </w:numPr>
        <w:rPr>
          <w:rFonts w:hint="eastAsia"/>
          <w:color w:val="auto"/>
          <w:highlight w:val="none"/>
        </w:rPr>
      </w:pPr>
      <w:r>
        <w:rPr>
          <w:rFonts w:hint="eastAsia"/>
          <w:color w:val="auto"/>
          <w:highlight w:val="none"/>
        </w:rPr>
        <w:t>　</w:t>
      </w:r>
      <w:bookmarkStart w:id="204" w:name="_Toc10881"/>
      <w:r>
        <w:rPr>
          <w:rFonts w:hint="eastAsia"/>
          <w:color w:val="auto"/>
          <w:highlight w:val="none"/>
          <w:lang w:val="en-US"/>
        </w:rPr>
        <w:t>施工实施</w:t>
      </w:r>
      <w:r>
        <w:rPr>
          <w:rFonts w:hint="eastAsia"/>
          <w:color w:val="auto"/>
          <w:highlight w:val="none"/>
        </w:rPr>
        <w:t>阶段</w:t>
      </w:r>
      <w:bookmarkEnd w:id="204"/>
    </w:p>
    <w:p w14:paraId="29A2C88D">
      <w:pPr>
        <w:pStyle w:val="3"/>
        <w:numPr>
          <w:ilvl w:val="1"/>
          <w:numId w:val="14"/>
        </w:numPr>
        <w:rPr>
          <w:rFonts w:hint="eastAsia"/>
          <w:color w:val="auto"/>
          <w:highlight w:val="none"/>
        </w:rPr>
      </w:pPr>
      <w:r>
        <w:rPr>
          <w:rFonts w:hint="eastAsia"/>
          <w:color w:val="auto"/>
          <w:highlight w:val="none"/>
          <w:lang w:val="en-AU"/>
        </w:rPr>
        <w:t xml:space="preserve"> </w:t>
      </w:r>
      <w:r>
        <w:rPr>
          <w:rFonts w:hint="eastAsia"/>
          <w:color w:val="auto"/>
          <w:highlight w:val="none"/>
        </w:rPr>
        <w:t>　</w:t>
      </w:r>
      <w:bookmarkStart w:id="205" w:name="_Toc18103"/>
      <w:r>
        <w:rPr>
          <w:rFonts w:hint="eastAsia"/>
          <w:color w:val="auto"/>
          <w:highlight w:val="none"/>
          <w:lang w:val="en-AU"/>
        </w:rPr>
        <w:t>一般</w:t>
      </w:r>
      <w:r>
        <w:rPr>
          <w:rFonts w:hint="eastAsia"/>
          <w:color w:val="auto"/>
          <w:highlight w:val="none"/>
        </w:rPr>
        <w:t>规定</w:t>
      </w:r>
      <w:bookmarkEnd w:id="205"/>
    </w:p>
    <w:p w14:paraId="64F4889C">
      <w:pPr>
        <w:pStyle w:val="4"/>
        <w:rPr>
          <w:rFonts w:hint="eastAsia"/>
          <w:color w:val="auto"/>
          <w:highlight w:val="none"/>
        </w:rPr>
      </w:pPr>
      <w:r>
        <w:rPr>
          <w:rFonts w:hint="eastAsia"/>
          <w:color w:val="auto"/>
          <w:highlight w:val="none"/>
        </w:rPr>
        <w:t>　市政地下空间工程在施工实施阶段的主要应用内容宜包括进度管理、质量管理、安全管理、成本管理、竣工交付等。</w:t>
      </w:r>
    </w:p>
    <w:p w14:paraId="1429BC24">
      <w:pPr>
        <w:pStyle w:val="4"/>
        <w:rPr>
          <w:rFonts w:hint="eastAsia"/>
          <w:color w:val="auto"/>
          <w:highlight w:val="none"/>
          <w:lang w:val="en-AU"/>
        </w:rPr>
      </w:pPr>
      <w:r>
        <w:rPr>
          <w:rFonts w:hint="eastAsia"/>
          <w:color w:val="auto"/>
          <w:highlight w:val="none"/>
        </w:rPr>
        <w:t>　</w:t>
      </w:r>
      <w:r>
        <w:rPr>
          <w:rFonts w:hint="eastAsia"/>
          <w:color w:val="auto"/>
          <w:highlight w:val="none"/>
          <w:lang w:val="en-AU"/>
        </w:rPr>
        <w:t>施工实施阶段应明确BIM 应用的工作内容、技术要求、工作进度、岗位职责、人员及设备配置等。</w:t>
      </w:r>
    </w:p>
    <w:p w14:paraId="20236109">
      <w:pPr>
        <w:pStyle w:val="4"/>
        <w:rPr>
          <w:rFonts w:hint="eastAsia"/>
          <w:color w:val="auto"/>
          <w:highlight w:val="none"/>
          <w:lang w:val="en-AU"/>
        </w:rPr>
      </w:pPr>
      <w:r>
        <w:rPr>
          <w:rFonts w:hint="eastAsia"/>
          <w:color w:val="auto"/>
          <w:highlight w:val="none"/>
        </w:rPr>
        <w:t>　</w:t>
      </w:r>
      <w:r>
        <w:rPr>
          <w:rFonts w:hint="eastAsia"/>
          <w:color w:val="auto"/>
          <w:highlight w:val="none"/>
          <w:lang w:val="en-AU"/>
        </w:rPr>
        <w:t>施工实施阶段应建立BIM 应用协同机制，实现建筑工程各相关方的协同工作、信息共享。</w:t>
      </w:r>
    </w:p>
    <w:p w14:paraId="084E5357">
      <w:pPr>
        <w:pStyle w:val="4"/>
        <w:rPr>
          <w:rFonts w:hint="eastAsia"/>
          <w:color w:val="auto"/>
          <w:highlight w:val="none"/>
          <w:lang w:val="en-AU"/>
        </w:rPr>
      </w:pPr>
      <w:r>
        <w:rPr>
          <w:rFonts w:hint="eastAsia"/>
          <w:color w:val="auto"/>
          <w:highlight w:val="none"/>
        </w:rPr>
        <w:t>　</w:t>
      </w:r>
      <w:r>
        <w:rPr>
          <w:rFonts w:hint="eastAsia"/>
          <w:color w:val="auto"/>
          <w:highlight w:val="none"/>
          <w:lang w:val="en-AU"/>
        </w:rPr>
        <w:t>在施工实施阶段应采取措施，保证项目建设的数据信息在BIM协同平台中安全。</w:t>
      </w:r>
    </w:p>
    <w:p w14:paraId="3FDFE581">
      <w:pPr>
        <w:pStyle w:val="4"/>
        <w:rPr>
          <w:rFonts w:hint="eastAsia"/>
          <w:color w:val="auto"/>
          <w:highlight w:val="none"/>
        </w:rPr>
      </w:pPr>
      <w:r>
        <w:rPr>
          <w:rFonts w:hint="eastAsia"/>
          <w:color w:val="auto"/>
          <w:highlight w:val="none"/>
        </w:rPr>
        <w:t xml:space="preserve">  施工实施阶段竣工交付的成果应保障数据的准确性、完整性与一致性，所交付的信息模型、文档、图纸应保持一致，</w:t>
      </w:r>
      <w:r>
        <w:rPr>
          <w:rFonts w:hint="eastAsia" w:cs="Times New Roman"/>
          <w:bCs w:val="0"/>
          <w:color w:val="auto"/>
          <w:highlight w:val="none"/>
        </w:rPr>
        <w:t>满足规划建设工程项目的应用需求。</w:t>
      </w:r>
    </w:p>
    <w:p w14:paraId="0B7468D9">
      <w:pPr>
        <w:pStyle w:val="3"/>
        <w:numPr>
          <w:ilvl w:val="1"/>
          <w:numId w:val="14"/>
        </w:numPr>
        <w:rPr>
          <w:rFonts w:hint="eastAsia"/>
          <w:color w:val="auto"/>
          <w:highlight w:val="none"/>
          <w:lang w:val="en-AU"/>
        </w:rPr>
      </w:pPr>
      <w:r>
        <w:rPr>
          <w:rFonts w:hint="eastAsia"/>
          <w:color w:val="auto"/>
          <w:highlight w:val="none"/>
          <w:lang w:val="en-AU"/>
        </w:rPr>
        <w:t>　</w:t>
      </w:r>
      <w:bookmarkStart w:id="206" w:name="_Toc32577"/>
      <w:r>
        <w:rPr>
          <w:rFonts w:hint="eastAsia"/>
          <w:color w:val="auto"/>
          <w:highlight w:val="none"/>
          <w:lang w:val="en-AU"/>
        </w:rPr>
        <w:t>进度管理</w:t>
      </w:r>
      <w:bookmarkEnd w:id="206"/>
    </w:p>
    <w:p w14:paraId="0BE6FE4A">
      <w:pPr>
        <w:pStyle w:val="4"/>
        <w:rPr>
          <w:rFonts w:hint="eastAsia"/>
          <w:color w:val="auto"/>
          <w:highlight w:val="none"/>
        </w:rPr>
      </w:pPr>
      <w:r>
        <w:rPr>
          <w:rFonts w:hint="eastAsia"/>
          <w:color w:val="auto"/>
          <w:highlight w:val="none"/>
        </w:rPr>
        <w:t>　进度管理的数据资料宜包含下列主要内容：</w:t>
      </w:r>
    </w:p>
    <w:p w14:paraId="37B60BDD">
      <w:pPr>
        <w:numPr>
          <w:ilvl w:val="0"/>
          <w:numId w:val="6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5DF1F2DA">
      <w:pPr>
        <w:numPr>
          <w:ilvl w:val="0"/>
          <w:numId w:val="6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施工进度计划；</w:t>
      </w:r>
    </w:p>
    <w:p w14:paraId="25FE7FAC">
      <w:pPr>
        <w:numPr>
          <w:ilvl w:val="0"/>
          <w:numId w:val="6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2F74A13B">
      <w:pPr>
        <w:pStyle w:val="4"/>
        <w:rPr>
          <w:rFonts w:hint="eastAsia"/>
          <w:color w:val="auto"/>
          <w:highlight w:val="none"/>
        </w:rPr>
      </w:pPr>
      <w:r>
        <w:rPr>
          <w:rFonts w:hint="eastAsia"/>
          <w:color w:val="auto"/>
          <w:highlight w:val="none"/>
        </w:rPr>
        <w:t>　进度管理宜按照以下</w:t>
      </w:r>
      <w:r>
        <w:rPr>
          <w:rFonts w:hint="eastAsia"/>
          <w:color w:val="auto"/>
          <w:highlight w:val="none"/>
          <w:lang w:eastAsia="zh-CN"/>
        </w:rPr>
        <w:t>程序实施</w:t>
      </w:r>
      <w:r>
        <w:rPr>
          <w:rFonts w:hint="eastAsia"/>
          <w:color w:val="auto"/>
          <w:highlight w:val="none"/>
        </w:rPr>
        <w:t>：</w:t>
      </w:r>
    </w:p>
    <w:p w14:paraId="285A33AB">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基于BIM协同平台，按照计划进度将分部分项工作、资源配置、时间、关键任务与施工深化模型关联；</w:t>
      </w:r>
    </w:p>
    <w:p w14:paraId="277CFBCB">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基于BIM协同平台，结合计划进度，将实际工程施工进度、资源投入、时间安排、征地拆迁进度等关联到施工深化模型，形成施工进度4D模拟视频；</w:t>
      </w:r>
    </w:p>
    <w:p w14:paraId="00D457F7">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将进度管理预警规则、偏差的触发条件和处理机制内置到 BIM 协同平台，当进度预警触发时，根据项目进度偏差分析结果和预警信息进行项目进度计划的调整，形成进度预警报告；</w:t>
      </w:r>
    </w:p>
    <w:p w14:paraId="6D3F6190">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根据项目进度计划、资源、费用等信息进行项目实际进度与计划进度偏差分析，依据资源配置调控措施及时调整进度计划，形成进度偏差分析报告。</w:t>
      </w:r>
    </w:p>
    <w:p w14:paraId="338ED26B">
      <w:pPr>
        <w:pStyle w:val="4"/>
        <w:rPr>
          <w:rFonts w:hint="eastAsia"/>
          <w:color w:val="auto"/>
          <w:highlight w:val="none"/>
        </w:rPr>
      </w:pPr>
      <w:r>
        <w:rPr>
          <w:rFonts w:hint="eastAsia"/>
          <w:color w:val="auto"/>
          <w:highlight w:val="none"/>
        </w:rPr>
        <w:t>　进度管理BIM应用成果宜包括下列内容：</w:t>
      </w:r>
    </w:p>
    <w:p w14:paraId="092B10B1">
      <w:pPr>
        <w:numPr>
          <w:ilvl w:val="0"/>
          <w:numId w:val="65"/>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施工进度4D模拟视频；</w:t>
      </w:r>
    </w:p>
    <w:p w14:paraId="542C0428">
      <w:pPr>
        <w:numPr>
          <w:ilvl w:val="0"/>
          <w:numId w:val="65"/>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进度预警报告；</w:t>
      </w:r>
    </w:p>
    <w:p w14:paraId="37A852AA">
      <w:pPr>
        <w:widowControl/>
        <w:numPr>
          <w:ilvl w:val="0"/>
          <w:numId w:val="65"/>
        </w:numPr>
        <w:spacing w:line="240" w:lineRule="auto"/>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进度偏差分析报告。</w:t>
      </w:r>
    </w:p>
    <w:p w14:paraId="4F781F52">
      <w:pPr>
        <w:pStyle w:val="3"/>
        <w:numPr>
          <w:ilvl w:val="1"/>
          <w:numId w:val="14"/>
        </w:numPr>
        <w:rPr>
          <w:rFonts w:hint="eastAsia"/>
          <w:color w:val="auto"/>
          <w:highlight w:val="none"/>
          <w:lang w:val="en-AU"/>
        </w:rPr>
      </w:pPr>
      <w:r>
        <w:rPr>
          <w:rFonts w:hint="eastAsia"/>
          <w:color w:val="auto"/>
          <w:highlight w:val="none"/>
          <w:lang w:val="en-AU"/>
        </w:rPr>
        <w:t>　</w:t>
      </w:r>
      <w:bookmarkStart w:id="207" w:name="_Toc15378"/>
      <w:r>
        <w:rPr>
          <w:rFonts w:hint="eastAsia"/>
          <w:color w:val="auto"/>
          <w:highlight w:val="none"/>
          <w:lang w:val="en-AU"/>
        </w:rPr>
        <w:t>质量管理</w:t>
      </w:r>
      <w:bookmarkEnd w:id="207"/>
    </w:p>
    <w:p w14:paraId="4E566547">
      <w:pPr>
        <w:pStyle w:val="4"/>
        <w:rPr>
          <w:rFonts w:hint="eastAsia"/>
          <w:color w:val="auto"/>
          <w:highlight w:val="none"/>
        </w:rPr>
      </w:pPr>
      <w:r>
        <w:rPr>
          <w:rFonts w:hint="eastAsia"/>
          <w:color w:val="auto"/>
          <w:highlight w:val="none"/>
        </w:rPr>
        <w:t>　质量管理的数据资料宜包含下列主要内容：</w:t>
      </w:r>
    </w:p>
    <w:p w14:paraId="6378427C">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179B8C41">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45606118">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质量技术交底资料；</w:t>
      </w:r>
    </w:p>
    <w:p w14:paraId="1D79BA80">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预制构件生产质量信息。</w:t>
      </w:r>
    </w:p>
    <w:p w14:paraId="61F47FBD">
      <w:pPr>
        <w:pStyle w:val="4"/>
        <w:rPr>
          <w:rFonts w:hint="eastAsia"/>
          <w:color w:val="auto"/>
          <w:highlight w:val="none"/>
        </w:rPr>
      </w:pPr>
      <w:r>
        <w:rPr>
          <w:rFonts w:hint="eastAsia"/>
          <w:color w:val="auto"/>
          <w:highlight w:val="none"/>
        </w:rPr>
        <w:t>　质量管理宜按照以下</w:t>
      </w:r>
      <w:r>
        <w:rPr>
          <w:rFonts w:hint="eastAsia"/>
          <w:color w:val="auto"/>
          <w:highlight w:val="none"/>
          <w:lang w:eastAsia="zh-CN"/>
        </w:rPr>
        <w:t>程序实施</w:t>
      </w:r>
      <w:r>
        <w:rPr>
          <w:rFonts w:hint="eastAsia"/>
          <w:color w:val="auto"/>
          <w:highlight w:val="none"/>
        </w:rPr>
        <w:t>：</w:t>
      </w:r>
    </w:p>
    <w:p w14:paraId="7BD55B2F">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 xml:space="preserve">制定质量管理程序、要求和方法，进行全过程质量管理。 </w:t>
      </w:r>
    </w:p>
    <w:p w14:paraId="43181EFF">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基于BIM协同平台，推送质量检查任务，对工程质量进行检查，并按任务进行质量检查和记录，形成质量检查报告；</w:t>
      </w:r>
    </w:p>
    <w:p w14:paraId="0F69FF78">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将质量检查存在的问题按照整改措施进行整改，形成质量问题处理记录，并与相关模型部位构件关联；</w:t>
      </w:r>
    </w:p>
    <w:p w14:paraId="707A6878">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按问题类型、部位、时间、施工人员和处理结果等对质量信息和问题进行汇总分析，形成质量问题分析报告；</w:t>
      </w:r>
    </w:p>
    <w:p w14:paraId="2306C78B">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基于BIM协同平台和质量管理模型开展工程报验、工序检查、检验批验收、工程验收等工作。形成质量管理资料记录；</w:t>
      </w:r>
    </w:p>
    <w:p w14:paraId="5621F464">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结合现场施工计划、产量、进度等因素对构件生产过程进行管理。采用物联网、互联网等技术对预制加工构件生产、堆放、运输、吊装等全过程进行质量管控信息采集，集成至BIM协同平台，形成预制构件质量管理报告；</w:t>
      </w:r>
    </w:p>
    <w:p w14:paraId="6FA97272">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将施工监理检查数据附加或关联到模型中，对监理管控的BIM工作信息进行归档，最终整理形成符合要求的竣工模型和验收记录。</w:t>
      </w:r>
    </w:p>
    <w:p w14:paraId="5298829D">
      <w:pPr>
        <w:pStyle w:val="4"/>
        <w:rPr>
          <w:rFonts w:hint="eastAsia"/>
          <w:color w:val="auto"/>
          <w:highlight w:val="none"/>
        </w:rPr>
      </w:pPr>
      <w:r>
        <w:rPr>
          <w:rFonts w:hint="eastAsia"/>
          <w:color w:val="auto"/>
          <w:highlight w:val="none"/>
        </w:rPr>
        <w:t>　质量管理BIM应用成果宜包括下列内容：</w:t>
      </w:r>
    </w:p>
    <w:p w14:paraId="3FD79CF9">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质量检查记录报告；</w:t>
      </w:r>
    </w:p>
    <w:p w14:paraId="4DADD16D">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质量问题处理记录；</w:t>
      </w:r>
    </w:p>
    <w:p w14:paraId="20481BB1">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质量问题分析报告；</w:t>
      </w:r>
    </w:p>
    <w:p w14:paraId="095B07A8">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预制构件质量管理报告；</w:t>
      </w:r>
    </w:p>
    <w:p w14:paraId="04416DE9">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施工监理BIM管控报告。</w:t>
      </w:r>
    </w:p>
    <w:p w14:paraId="5D2227C2">
      <w:pPr>
        <w:pStyle w:val="3"/>
        <w:numPr>
          <w:ilvl w:val="1"/>
          <w:numId w:val="14"/>
        </w:numPr>
        <w:rPr>
          <w:rFonts w:hint="eastAsia"/>
          <w:color w:val="auto"/>
          <w:highlight w:val="none"/>
          <w:lang w:val="en-AU"/>
        </w:rPr>
      </w:pPr>
      <w:r>
        <w:rPr>
          <w:rFonts w:hint="eastAsia"/>
          <w:color w:val="auto"/>
          <w:highlight w:val="none"/>
          <w:lang w:val="en-AU"/>
        </w:rPr>
        <w:t>　</w:t>
      </w:r>
      <w:bookmarkStart w:id="208" w:name="_Toc26753"/>
      <w:r>
        <w:rPr>
          <w:rFonts w:hint="eastAsia"/>
          <w:color w:val="auto"/>
          <w:highlight w:val="none"/>
          <w:lang w:val="en-AU"/>
        </w:rPr>
        <w:t>安全管理</w:t>
      </w:r>
      <w:bookmarkEnd w:id="208"/>
    </w:p>
    <w:p w14:paraId="025C2C73">
      <w:pPr>
        <w:pStyle w:val="4"/>
        <w:rPr>
          <w:rFonts w:hint="eastAsia"/>
          <w:color w:val="auto"/>
          <w:highlight w:val="none"/>
        </w:rPr>
      </w:pPr>
      <w:r>
        <w:rPr>
          <w:rFonts w:hint="eastAsia"/>
          <w:color w:val="auto"/>
          <w:highlight w:val="none"/>
        </w:rPr>
        <w:t>　安全管理的数据资料宜包含下列主要内容：</w:t>
      </w:r>
    </w:p>
    <w:p w14:paraId="2521EBA1">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21594DA5">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7A04685D">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安全技术交底资料；</w:t>
      </w:r>
    </w:p>
    <w:p w14:paraId="1624A52F">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风险源清单。</w:t>
      </w:r>
    </w:p>
    <w:p w14:paraId="16E1B70C">
      <w:pPr>
        <w:pStyle w:val="4"/>
        <w:rPr>
          <w:rFonts w:hint="eastAsia"/>
          <w:color w:val="auto"/>
          <w:highlight w:val="none"/>
        </w:rPr>
      </w:pPr>
      <w:r>
        <w:rPr>
          <w:rFonts w:hint="eastAsia"/>
          <w:color w:val="auto"/>
          <w:highlight w:val="none"/>
        </w:rPr>
        <w:t>　安全管理宜按照以下</w:t>
      </w:r>
      <w:r>
        <w:rPr>
          <w:rFonts w:hint="eastAsia"/>
          <w:color w:val="auto"/>
          <w:highlight w:val="none"/>
          <w:lang w:eastAsia="zh-CN"/>
        </w:rPr>
        <w:t>程序实施</w:t>
      </w:r>
      <w:r>
        <w:rPr>
          <w:rFonts w:hint="eastAsia"/>
          <w:color w:val="auto"/>
          <w:highlight w:val="none"/>
        </w:rPr>
        <w:t>：</w:t>
      </w:r>
    </w:p>
    <w:p w14:paraId="6C37F8F6">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制定安全管理程序、安全措施、安全管理要求、应急预案等，进行全过程安全管理；</w:t>
      </w:r>
    </w:p>
    <w:p w14:paraId="3A56D8A6">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基于BIM协同平台，根据项目风险源清单和安全风险因素推送安全检查任务，并按任务进行安全检查，形成安全检查报告；</w:t>
      </w:r>
    </w:p>
    <w:p w14:paraId="30C225B5">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基于BIM协同平台内置安全报警和应急预案，对安全问题进行整改和应急指挥，并记录整改处理过程，形成安全问题整改记录报告，并与相关模型部位构件关联；</w:t>
      </w:r>
    </w:p>
    <w:p w14:paraId="232D5C95">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按安全问题类型、部位、时间、施工人员和处理结果等对安全问题进行汇总、分析，形成安全问题分析报告；对安全高频问题或安全问题高发区域进行安全信息溯源，结合安全问题分析报告，制定安全改进措施；</w:t>
      </w:r>
    </w:p>
    <w:p w14:paraId="1E459314">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自然风险因素、地下结构风险因素、施工风险因素等，建立风险源标志、标识和防护措施，结合施工深化模型，基于BIM协同管理平台进行巡检、维护和更新，形成风险源管控记录报告。</w:t>
      </w:r>
    </w:p>
    <w:p w14:paraId="6E281CA9">
      <w:pPr>
        <w:pStyle w:val="4"/>
        <w:rPr>
          <w:rFonts w:hint="eastAsia"/>
          <w:color w:val="auto"/>
          <w:highlight w:val="none"/>
        </w:rPr>
      </w:pPr>
      <w:r>
        <w:rPr>
          <w:rFonts w:hint="eastAsia"/>
          <w:color w:val="auto"/>
          <w:highlight w:val="none"/>
        </w:rPr>
        <w:t>　安全管理BIM应用成果宜包括下列内容：</w:t>
      </w:r>
    </w:p>
    <w:p w14:paraId="13E07AA8">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安全检查报告；</w:t>
      </w:r>
    </w:p>
    <w:p w14:paraId="25CE2ADE">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安全问题整改记录报告；</w:t>
      </w:r>
    </w:p>
    <w:p w14:paraId="714F4416">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安全管理分析报告、</w:t>
      </w:r>
    </w:p>
    <w:p w14:paraId="08F3FE1A">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安全改进措施报告。</w:t>
      </w:r>
    </w:p>
    <w:p w14:paraId="1367D389">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风险源管控记录报告</w:t>
      </w:r>
    </w:p>
    <w:p w14:paraId="112AE911">
      <w:pPr>
        <w:pStyle w:val="3"/>
        <w:numPr>
          <w:ilvl w:val="1"/>
          <w:numId w:val="14"/>
        </w:numPr>
        <w:rPr>
          <w:rFonts w:hint="eastAsia"/>
          <w:color w:val="auto"/>
          <w:highlight w:val="none"/>
          <w:lang w:val="en-AU"/>
        </w:rPr>
      </w:pPr>
      <w:r>
        <w:rPr>
          <w:rFonts w:hint="eastAsia"/>
          <w:color w:val="auto"/>
          <w:highlight w:val="none"/>
          <w:lang w:val="en-AU"/>
        </w:rPr>
        <w:t>　</w:t>
      </w:r>
      <w:bookmarkStart w:id="209" w:name="_Toc14339"/>
      <w:r>
        <w:rPr>
          <w:rFonts w:hint="eastAsia"/>
          <w:color w:val="auto"/>
          <w:highlight w:val="none"/>
          <w:lang w:val="en-AU"/>
        </w:rPr>
        <w:t>成本管理</w:t>
      </w:r>
      <w:bookmarkEnd w:id="209"/>
    </w:p>
    <w:p w14:paraId="363BF0CA">
      <w:pPr>
        <w:pStyle w:val="4"/>
        <w:rPr>
          <w:rFonts w:hint="eastAsia"/>
          <w:color w:val="auto"/>
          <w:highlight w:val="none"/>
        </w:rPr>
      </w:pPr>
      <w:r>
        <w:rPr>
          <w:rFonts w:hint="eastAsia"/>
          <w:color w:val="auto"/>
          <w:highlight w:val="none"/>
        </w:rPr>
        <w:t>　成本管理的数据资料宜包含下列主要内容：</w:t>
      </w:r>
    </w:p>
    <w:p w14:paraId="34915764">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46D26148">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0FEAEBB7">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清单工程量；</w:t>
      </w:r>
    </w:p>
    <w:p w14:paraId="426175D1">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合同量清单。</w:t>
      </w:r>
    </w:p>
    <w:p w14:paraId="2FF19E74">
      <w:pPr>
        <w:pStyle w:val="4"/>
        <w:rPr>
          <w:rFonts w:hint="eastAsia"/>
          <w:color w:val="auto"/>
          <w:highlight w:val="none"/>
        </w:rPr>
      </w:pPr>
      <w:r>
        <w:rPr>
          <w:rFonts w:hint="eastAsia"/>
          <w:color w:val="auto"/>
          <w:highlight w:val="none"/>
        </w:rPr>
        <w:t>　成本管理宜按照以下</w:t>
      </w:r>
      <w:r>
        <w:rPr>
          <w:rFonts w:hint="eastAsia"/>
          <w:color w:val="auto"/>
          <w:highlight w:val="none"/>
          <w:lang w:eastAsia="zh-CN"/>
        </w:rPr>
        <w:t>程序实施</w:t>
      </w:r>
      <w:r>
        <w:rPr>
          <w:rFonts w:hint="eastAsia"/>
          <w:color w:val="auto"/>
          <w:highlight w:val="none"/>
        </w:rPr>
        <w:t>：</w:t>
      </w:r>
    </w:p>
    <w:p w14:paraId="6358A593">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将企业定额、清单库、清单工程量、计量回款计划</w:t>
      </w:r>
      <w:bookmarkStart w:id="321" w:name="_GoBack"/>
      <w:bookmarkEnd w:id="321"/>
      <w:r>
        <w:rPr>
          <w:rFonts w:hint="eastAsia" w:ascii="宋体" w:hAnsi="宋体" w:eastAsia="宋体"/>
          <w:bCs/>
          <w:color w:val="auto"/>
          <w:szCs w:val="32"/>
          <w:highlight w:val="none"/>
          <w:lang w:eastAsia="zh-CN"/>
        </w:rPr>
        <w:t>数据导入BIM协同平台</w:t>
      </w:r>
      <w:r>
        <w:rPr>
          <w:rFonts w:hint="eastAsia" w:ascii="宋体" w:hAnsi="宋体" w:eastAsia="宋体"/>
          <w:bCs/>
          <w:color w:val="auto"/>
          <w:szCs w:val="32"/>
          <w:highlight w:val="none"/>
        </w:rPr>
        <w:t>中，将施工深化模型构件进行匹配。</w:t>
      </w:r>
    </w:p>
    <w:p w14:paraId="5AD4E5A5">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基于BIM协同平台，结合施工组织方案、施工工艺等资源需求信息，辅助编制、优化各阶段资源配置计划和材料采购计划；记录施工阶段机械设备进出场、设备运行监测、设备保养等信息，形成设备管理报告；</w:t>
      </w:r>
    </w:p>
    <w:p w14:paraId="347AE4B3">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在BIM协同管理平台中，依据工程进度、材料消耗、设备投入等不同维度信息进行数据统计分析，形成成本分析报告；</w:t>
      </w:r>
    </w:p>
    <w:p w14:paraId="69A4873C">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基于BIM协同平台，根据施工阶段进行汇算、对比和分析合同预算价、目标成本预算、实际成本核算，形成三算对比分析报告。</w:t>
      </w:r>
    </w:p>
    <w:p w14:paraId="67E4EB53">
      <w:pPr>
        <w:pStyle w:val="4"/>
        <w:rPr>
          <w:rFonts w:hint="eastAsia"/>
          <w:color w:val="auto"/>
          <w:highlight w:val="none"/>
        </w:rPr>
      </w:pPr>
      <w:r>
        <w:rPr>
          <w:rFonts w:hint="eastAsia"/>
          <w:color w:val="auto"/>
          <w:highlight w:val="none"/>
        </w:rPr>
        <w:t>　成本管理BIM应用成果宜包括下列内容：</w:t>
      </w:r>
    </w:p>
    <w:p w14:paraId="5424C9E2">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材料物资台账报告</w:t>
      </w:r>
    </w:p>
    <w:p w14:paraId="2261D12C">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机械设备台账报告；</w:t>
      </w:r>
    </w:p>
    <w:p w14:paraId="1DA2584F">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成本分析报告；</w:t>
      </w:r>
    </w:p>
    <w:p w14:paraId="78228193">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三算对比分析报告。</w:t>
      </w:r>
    </w:p>
    <w:p w14:paraId="5ED1CB0D">
      <w:pPr>
        <w:pStyle w:val="3"/>
        <w:numPr>
          <w:ilvl w:val="1"/>
          <w:numId w:val="14"/>
        </w:numPr>
        <w:rPr>
          <w:rFonts w:hint="eastAsia"/>
          <w:color w:val="auto"/>
          <w:highlight w:val="none"/>
          <w:lang w:val="en-AU"/>
        </w:rPr>
      </w:pPr>
      <w:r>
        <w:rPr>
          <w:rFonts w:hint="eastAsia"/>
          <w:color w:val="auto"/>
          <w:highlight w:val="none"/>
          <w:lang w:val="en-AU"/>
        </w:rPr>
        <w:t>　</w:t>
      </w:r>
      <w:bookmarkStart w:id="210" w:name="_Toc4802"/>
      <w:r>
        <w:rPr>
          <w:rFonts w:hint="eastAsia"/>
          <w:color w:val="auto"/>
          <w:highlight w:val="none"/>
          <w:lang w:val="en-AU"/>
        </w:rPr>
        <w:t>竣工交付</w:t>
      </w:r>
      <w:bookmarkEnd w:id="210"/>
    </w:p>
    <w:p w14:paraId="3167AC3B">
      <w:pPr>
        <w:pStyle w:val="4"/>
        <w:rPr>
          <w:rFonts w:hint="eastAsia"/>
          <w:color w:val="auto"/>
          <w:highlight w:val="none"/>
        </w:rPr>
      </w:pPr>
      <w:r>
        <w:rPr>
          <w:rFonts w:hint="eastAsia"/>
          <w:color w:val="auto"/>
          <w:highlight w:val="none"/>
        </w:rPr>
        <w:t>　竣工交付的数据资料交付宜满足以下要求：</w:t>
      </w:r>
    </w:p>
    <w:p w14:paraId="71472C98">
      <w:pPr>
        <w:numPr>
          <w:ilvl w:val="0"/>
          <w:numId w:val="75"/>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市政地下空间工程交付物的竣工模型及相关数据、文本等信息应已通过验收和评价，交付物应满足《建筑信息模型</w:t>
      </w:r>
      <w:r>
        <w:rPr>
          <w:rFonts w:hint="eastAsia" w:ascii="宋体" w:hAnsi="宋体" w:eastAsia="宋体"/>
          <w:bCs/>
          <w:color w:val="auto"/>
          <w:szCs w:val="32"/>
          <w:highlight w:val="none"/>
          <w:lang w:val="en-US" w:eastAsia="zh-CN"/>
        </w:rPr>
        <w:t>存储标准</w:t>
      </w:r>
      <w:r>
        <w:rPr>
          <w:rFonts w:hint="eastAsia" w:ascii="宋体" w:hAnsi="宋体" w:eastAsia="宋体"/>
          <w:bCs/>
          <w:color w:val="auto"/>
          <w:szCs w:val="32"/>
          <w:highlight w:val="none"/>
        </w:rPr>
        <w:t>》GB</w:t>
      </w:r>
      <w:r>
        <w:rPr>
          <w:rFonts w:hint="eastAsia"/>
          <w:color w:val="auto"/>
          <w:highlight w:val="none"/>
        </w:rPr>
        <w:t xml:space="preserve">/T </w:t>
      </w:r>
      <w:r>
        <w:rPr>
          <w:rFonts w:hint="eastAsia" w:ascii="宋体" w:hAnsi="宋体" w:eastAsia="宋体"/>
          <w:bCs/>
          <w:color w:val="auto"/>
          <w:szCs w:val="32"/>
          <w:highlight w:val="none"/>
        </w:rPr>
        <w:t>51</w:t>
      </w:r>
      <w:r>
        <w:rPr>
          <w:rFonts w:hint="eastAsia" w:ascii="宋体" w:hAnsi="宋体" w:eastAsia="宋体"/>
          <w:bCs/>
          <w:color w:val="auto"/>
          <w:szCs w:val="32"/>
          <w:highlight w:val="none"/>
          <w:lang w:eastAsia="zh-CN"/>
        </w:rPr>
        <w:t>4</w:t>
      </w:r>
      <w:r>
        <w:rPr>
          <w:rFonts w:hint="eastAsia" w:ascii="宋体" w:hAnsi="宋体" w:eastAsia="宋体"/>
          <w:bCs/>
          <w:color w:val="auto"/>
          <w:szCs w:val="32"/>
          <w:highlight w:val="none"/>
          <w:lang w:val="en-US" w:eastAsia="zh-CN"/>
        </w:rPr>
        <w:t>47</w:t>
      </w:r>
      <w:r>
        <w:rPr>
          <w:rFonts w:hint="eastAsia" w:ascii="宋体" w:hAnsi="宋体" w:eastAsia="宋体"/>
          <w:bCs/>
          <w:color w:val="auto"/>
          <w:szCs w:val="32"/>
          <w:highlight w:val="none"/>
        </w:rPr>
        <w:t>的规定。</w:t>
      </w:r>
    </w:p>
    <w:p w14:paraId="5286C944">
      <w:pPr>
        <w:numPr>
          <w:ilvl w:val="0"/>
          <w:numId w:val="75"/>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市政地下空间工程交付物的交付应编制交付方案，明确交付组织形式、交付流程、交付方式及存储硬件和运行搭载软件或平台的类型，并应提供纸质版本的移交清单。</w:t>
      </w:r>
    </w:p>
    <w:p w14:paraId="17E40DE6">
      <w:pPr>
        <w:numPr>
          <w:ilvl w:val="0"/>
          <w:numId w:val="75"/>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市政地下空间工程交付物应按移交清单逐项组织接收，并核查验收评价情况，保证各阶段交付物的完整性、合规性和可用性。</w:t>
      </w:r>
    </w:p>
    <w:p w14:paraId="22F5DC04">
      <w:pPr>
        <w:pStyle w:val="4"/>
        <w:rPr>
          <w:rFonts w:hint="eastAsia"/>
          <w:color w:val="auto"/>
          <w:highlight w:val="none"/>
        </w:rPr>
      </w:pPr>
      <w:r>
        <w:rPr>
          <w:rFonts w:hint="eastAsia"/>
          <w:color w:val="auto"/>
          <w:highlight w:val="none"/>
        </w:rPr>
        <w:t>　竣工交付的交付物宜满足以下要求：</w:t>
      </w:r>
    </w:p>
    <w:p w14:paraId="04C83CDC">
      <w:pPr>
        <w:numPr>
          <w:ilvl w:val="0"/>
          <w:numId w:val="76"/>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市政地下空间工程竣工模型应包含建筑、结构、机电（含设备）、装饰装修等主要专业，模型含有与其关联的数据、文本、文档、影像等信息。</w:t>
      </w:r>
    </w:p>
    <w:p w14:paraId="10D36A10">
      <w:pPr>
        <w:numPr>
          <w:ilvl w:val="0"/>
          <w:numId w:val="76"/>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设备交付模型</w:t>
      </w:r>
      <w:r>
        <w:rPr>
          <w:rFonts w:hint="eastAsia" w:ascii="宋体" w:hAnsi="宋体" w:eastAsia="宋体"/>
          <w:bCs/>
          <w:color w:val="auto"/>
          <w:szCs w:val="32"/>
          <w:highlight w:val="none"/>
          <w:lang w:val="en-US" w:eastAsia="zh-CN"/>
        </w:rPr>
        <w:t>应</w:t>
      </w:r>
      <w:r>
        <w:rPr>
          <w:rFonts w:hint="eastAsia" w:ascii="宋体" w:hAnsi="宋体" w:eastAsia="宋体"/>
          <w:bCs/>
          <w:color w:val="auto"/>
          <w:szCs w:val="32"/>
          <w:highlight w:val="none"/>
        </w:rPr>
        <w:t>结合</w:t>
      </w:r>
      <w:r>
        <w:rPr>
          <w:rFonts w:hint="eastAsia" w:ascii="宋体" w:hAnsi="宋体" w:eastAsia="宋体"/>
          <w:bCs/>
          <w:color w:val="auto"/>
          <w:szCs w:val="32"/>
          <w:highlight w:val="none"/>
          <w:lang w:val="en-US" w:eastAsia="zh-CN"/>
        </w:rPr>
        <w:t>工程实际需求完成设备编码</w:t>
      </w:r>
      <w:r>
        <w:rPr>
          <w:rFonts w:hint="eastAsia" w:ascii="宋体" w:hAnsi="宋体" w:eastAsia="宋体"/>
          <w:bCs/>
          <w:color w:val="auto"/>
          <w:szCs w:val="32"/>
          <w:highlight w:val="none"/>
        </w:rPr>
        <w:t>，</w:t>
      </w:r>
      <w:r>
        <w:rPr>
          <w:rFonts w:hint="eastAsia" w:ascii="宋体" w:hAnsi="宋体" w:eastAsia="宋体"/>
          <w:bCs/>
          <w:color w:val="auto"/>
          <w:szCs w:val="32"/>
          <w:highlight w:val="none"/>
          <w:lang w:val="en-US" w:eastAsia="zh-CN"/>
        </w:rPr>
        <w:t>并满足</w:t>
      </w:r>
      <w:r>
        <w:rPr>
          <w:rFonts w:hint="eastAsia" w:ascii="宋体" w:hAnsi="宋体" w:eastAsia="宋体"/>
          <w:bCs/>
          <w:color w:val="auto"/>
          <w:szCs w:val="32"/>
          <w:highlight w:val="none"/>
        </w:rPr>
        <w:t>《建筑信息模型分类和编码标准》GB/T 51269</w:t>
      </w:r>
      <w:r>
        <w:rPr>
          <w:rFonts w:hint="eastAsia" w:ascii="宋体" w:hAnsi="宋体" w:eastAsia="宋体"/>
          <w:bCs/>
          <w:color w:val="auto"/>
          <w:szCs w:val="32"/>
          <w:highlight w:val="none"/>
          <w:lang w:val="en-US" w:eastAsia="zh-CN"/>
        </w:rPr>
        <w:t>的相关要求</w:t>
      </w:r>
      <w:r>
        <w:rPr>
          <w:rFonts w:hint="eastAsia" w:ascii="宋体" w:hAnsi="宋体" w:eastAsia="宋体"/>
          <w:bCs/>
          <w:color w:val="auto"/>
          <w:szCs w:val="32"/>
          <w:highlight w:val="none"/>
        </w:rPr>
        <w:t>。</w:t>
      </w:r>
    </w:p>
    <w:p w14:paraId="1998ACC0">
      <w:pPr>
        <w:numPr>
          <w:ilvl w:val="0"/>
          <w:numId w:val="76"/>
        </w:numPr>
        <w:ind w:firstLineChars="0"/>
        <w:rPr>
          <w:color w:val="auto"/>
          <w:highlight w:val="none"/>
        </w:rPr>
      </w:pPr>
      <w:r>
        <w:rPr>
          <w:rFonts w:hint="eastAsia" w:ascii="宋体" w:hAnsi="宋体" w:eastAsia="宋体" w:cs="Times New Roman"/>
          <w:bCs/>
          <w:color w:val="auto"/>
          <w:szCs w:val="32"/>
          <w:highlight w:val="none"/>
        </w:rPr>
        <w:t>市政地下空间工程信息模型交付物应满足各阶段实际使用需求且应满足交互要求，交付物应具备共享性</w:t>
      </w:r>
      <w:r>
        <w:rPr>
          <w:rFonts w:hint="eastAsia" w:ascii="宋体" w:hAnsi="宋体" w:eastAsia="宋体"/>
          <w:bCs/>
          <w:color w:val="auto"/>
          <w:szCs w:val="32"/>
          <w:highlight w:val="none"/>
        </w:rPr>
        <w:t>，</w:t>
      </w:r>
      <w:r>
        <w:rPr>
          <w:rFonts w:hint="eastAsia" w:ascii="宋体" w:hAnsi="宋体" w:eastAsia="宋体" w:cs="Times New Roman"/>
          <w:bCs/>
          <w:color w:val="auto"/>
          <w:szCs w:val="32"/>
          <w:highlight w:val="none"/>
        </w:rPr>
        <w:t>应以通用的数据格式传递信息，宜集中管理，设置数据访问权限。</w:t>
      </w:r>
    </w:p>
    <w:p w14:paraId="1127F96D">
      <w:pPr>
        <w:pStyle w:val="4"/>
        <w:rPr>
          <w:rFonts w:hint="eastAsia"/>
          <w:color w:val="auto"/>
          <w:highlight w:val="none"/>
        </w:rPr>
      </w:pPr>
      <w:r>
        <w:rPr>
          <w:rFonts w:hint="eastAsia"/>
          <w:color w:val="auto"/>
          <w:highlight w:val="none"/>
        </w:rPr>
        <w:t>　竣工交付应用成果宜包括下列内容：</w:t>
      </w:r>
    </w:p>
    <w:p w14:paraId="45987C80">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竣工模型（建筑、结构、机电、设备、装饰装修等）；</w:t>
      </w:r>
    </w:p>
    <w:p w14:paraId="05ED134B">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应用成果（文档报告、模型、影像等）；</w:t>
      </w:r>
    </w:p>
    <w:p w14:paraId="7309E116">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BIM数据库(平台数据)</w:t>
      </w:r>
    </w:p>
    <w:p w14:paraId="5D0CF5B6">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竣工移交清单；</w:t>
      </w:r>
    </w:p>
    <w:p w14:paraId="7F6E26A7">
      <w:pPr>
        <w:pStyle w:val="2"/>
        <w:numPr>
          <w:ilvl w:val="0"/>
          <w:numId w:val="14"/>
        </w:numPr>
        <w:ind w:left="0"/>
        <w:rPr>
          <w:rFonts w:hint="eastAsia"/>
          <w:color w:val="auto"/>
          <w:highlight w:val="none"/>
        </w:rPr>
      </w:pPr>
      <w:r>
        <w:rPr>
          <w:rFonts w:hint="eastAsia"/>
          <w:color w:val="auto"/>
          <w:highlight w:val="none"/>
        </w:rPr>
        <w:t>　</w:t>
      </w:r>
      <w:bookmarkStart w:id="211" w:name="_Toc19013"/>
      <w:bookmarkStart w:id="212" w:name="_Toc29352"/>
      <w:bookmarkStart w:id="213" w:name="_Toc22610"/>
      <w:bookmarkStart w:id="214" w:name="_Toc14788"/>
      <w:bookmarkStart w:id="215" w:name="_Toc29534"/>
      <w:bookmarkStart w:id="216" w:name="_Toc22502"/>
      <w:bookmarkStart w:id="217" w:name="_Toc4005"/>
      <w:bookmarkStart w:id="218" w:name="_Toc27811"/>
      <w:r>
        <w:rPr>
          <w:rFonts w:hint="eastAsia"/>
          <w:color w:val="auto"/>
          <w:highlight w:val="none"/>
          <w:lang w:val="en-US"/>
        </w:rPr>
        <w:t>运维阶段</w:t>
      </w:r>
      <w:bookmarkEnd w:id="211"/>
      <w:bookmarkEnd w:id="212"/>
      <w:bookmarkEnd w:id="213"/>
      <w:bookmarkEnd w:id="214"/>
      <w:bookmarkEnd w:id="215"/>
      <w:bookmarkEnd w:id="216"/>
      <w:bookmarkEnd w:id="217"/>
      <w:bookmarkEnd w:id="218"/>
    </w:p>
    <w:p w14:paraId="3FCDBF37">
      <w:pPr>
        <w:pStyle w:val="3"/>
        <w:rPr>
          <w:rFonts w:hint="eastAsia"/>
          <w:color w:val="auto"/>
          <w:highlight w:val="none"/>
        </w:rPr>
      </w:pPr>
      <w:bookmarkStart w:id="219" w:name="_Toc787"/>
      <w:bookmarkStart w:id="220" w:name="_Toc26168"/>
      <w:bookmarkStart w:id="221" w:name="_Toc24231"/>
      <w:bookmarkStart w:id="222" w:name="_Toc1367"/>
      <w:bookmarkStart w:id="223" w:name="_Toc9915"/>
      <w:r>
        <w:rPr>
          <w:rFonts w:hint="eastAsia"/>
          <w:color w:val="auto"/>
          <w:highlight w:val="none"/>
        </w:rPr>
        <w:t>　</w:t>
      </w:r>
      <w:bookmarkStart w:id="224" w:name="_Toc29721"/>
      <w:bookmarkStart w:id="225" w:name="_Toc30413"/>
      <w:bookmarkStart w:id="226" w:name="_Toc23404"/>
      <w:r>
        <w:rPr>
          <w:rFonts w:hint="eastAsia"/>
          <w:color w:val="auto"/>
          <w:highlight w:val="none"/>
        </w:rPr>
        <w:t>一般规定</w:t>
      </w:r>
      <w:bookmarkEnd w:id="219"/>
      <w:bookmarkEnd w:id="220"/>
      <w:bookmarkEnd w:id="221"/>
      <w:bookmarkEnd w:id="222"/>
      <w:bookmarkEnd w:id="223"/>
      <w:bookmarkEnd w:id="224"/>
      <w:bookmarkEnd w:id="225"/>
      <w:bookmarkEnd w:id="226"/>
    </w:p>
    <w:p w14:paraId="532D8635">
      <w:pPr>
        <w:pStyle w:val="4"/>
        <w:rPr>
          <w:rFonts w:hint="eastAsia"/>
          <w:color w:val="auto"/>
          <w:highlight w:val="none"/>
        </w:rPr>
      </w:pPr>
      <w:r>
        <w:rPr>
          <w:rFonts w:hint="eastAsia"/>
          <w:color w:val="auto"/>
          <w:highlight w:val="none"/>
        </w:rPr>
        <w:t>　运维阶段前应</w:t>
      </w:r>
      <w:r>
        <w:rPr>
          <w:color w:val="auto"/>
          <w:highlight w:val="none"/>
        </w:rPr>
        <w:t>在需求调研分析、功能分析与可行性分析的基础上</w:t>
      </w:r>
      <w:r>
        <w:rPr>
          <w:rFonts w:hint="eastAsia"/>
          <w:color w:val="auto"/>
          <w:highlight w:val="none"/>
        </w:rPr>
        <w:t>编写运维管理方案，运维管理方案应包括下列主要内容：</w:t>
      </w:r>
    </w:p>
    <w:p w14:paraId="1482884E">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运维管理的总体目标；</w:t>
      </w:r>
    </w:p>
    <w:p w14:paraId="6EB3E523">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运维管理的实施内容；</w:t>
      </w:r>
    </w:p>
    <w:p w14:paraId="066A5087">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运维模型的标准；</w:t>
      </w:r>
    </w:p>
    <w:p w14:paraId="379FF23B">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运维管理平台的技术路线。</w:t>
      </w:r>
    </w:p>
    <w:p w14:paraId="0E1C9B33">
      <w:pPr>
        <w:pStyle w:val="4"/>
        <w:rPr>
          <w:rFonts w:hint="eastAsia"/>
          <w:color w:val="auto"/>
          <w:highlight w:val="none"/>
        </w:rPr>
      </w:pPr>
      <w:r>
        <w:rPr>
          <w:rFonts w:hint="eastAsia"/>
          <w:color w:val="auto"/>
          <w:highlight w:val="none"/>
        </w:rPr>
        <w:t>　运维阶段应结合运维管理方案，拆分或整合、细化或简化竣工交付模型，形成运维模型。</w:t>
      </w:r>
    </w:p>
    <w:p w14:paraId="7A7ABE3A">
      <w:pPr>
        <w:pStyle w:val="4"/>
        <w:rPr>
          <w:rFonts w:hint="eastAsia"/>
          <w:color w:val="auto"/>
          <w:highlight w:val="none"/>
        </w:rPr>
      </w:pPr>
      <w:r>
        <w:rPr>
          <w:rFonts w:hint="eastAsia"/>
          <w:color w:val="auto"/>
          <w:highlight w:val="none"/>
        </w:rPr>
        <w:t>　运维阶段应以运维模型为基础，根据各应用点需求集成运维管理基础数据，相应地形成资产管理模型、设施设备管理模型、应急管理模型、维护管理模型等。</w:t>
      </w:r>
    </w:p>
    <w:p w14:paraId="51E0BAF1">
      <w:pPr>
        <w:pStyle w:val="4"/>
        <w:rPr>
          <w:rFonts w:hint="eastAsia"/>
          <w:color w:val="auto"/>
          <w:highlight w:val="none"/>
        </w:rPr>
      </w:pPr>
      <w:r>
        <w:rPr>
          <w:rFonts w:hint="eastAsia"/>
          <w:color w:val="auto"/>
          <w:highlight w:val="none"/>
        </w:rPr>
        <w:t>　运维阶段应根据数据变化、空间功能变化对运维模型进行实时更新。</w:t>
      </w:r>
    </w:p>
    <w:p w14:paraId="3570A3C4">
      <w:pPr>
        <w:pStyle w:val="4"/>
        <w:rPr>
          <w:rFonts w:hint="eastAsia"/>
          <w:color w:val="auto"/>
          <w:highlight w:val="none"/>
        </w:rPr>
      </w:pPr>
      <w:r>
        <w:rPr>
          <w:rFonts w:hint="eastAsia"/>
          <w:color w:val="auto"/>
          <w:highlight w:val="none"/>
        </w:rPr>
        <w:t>　运维阶段宜根据运维需求研发运维管理平台，平台应满足下列技术要求：</w:t>
      </w:r>
    </w:p>
    <w:p w14:paraId="3D47657A">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应具有满足模型可视化要求的轻量化图形引擎；</w:t>
      </w:r>
    </w:p>
    <w:p w14:paraId="770CD9E6">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应支持常用格式的模型文件的解析和结构化存储；</w:t>
      </w:r>
    </w:p>
    <w:p w14:paraId="431051ED">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应支持常见运维系统状态数据的接入；</w:t>
      </w:r>
    </w:p>
    <w:p w14:paraId="6423D739">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应具备资产管理、设备集成与监控、应急管理、维护管理和平战转换等功能模块；</w:t>
      </w:r>
    </w:p>
    <w:p w14:paraId="4E0495A6">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应支持平台数据的定期备份。</w:t>
      </w:r>
    </w:p>
    <w:p w14:paraId="60C74AFC">
      <w:pPr>
        <w:pStyle w:val="3"/>
        <w:rPr>
          <w:rFonts w:hint="eastAsia"/>
          <w:color w:val="auto"/>
          <w:highlight w:val="none"/>
        </w:rPr>
      </w:pPr>
      <w:bookmarkStart w:id="227" w:name="_Toc3734"/>
      <w:bookmarkStart w:id="228" w:name="_Toc2642"/>
      <w:bookmarkStart w:id="229" w:name="_Toc19341"/>
      <w:bookmarkStart w:id="230" w:name="_Toc1539"/>
      <w:bookmarkStart w:id="231" w:name="_Toc28790"/>
      <w:r>
        <w:rPr>
          <w:rFonts w:hint="eastAsia"/>
          <w:color w:val="auto"/>
          <w:highlight w:val="none"/>
        </w:rPr>
        <w:t>　</w:t>
      </w:r>
      <w:bookmarkStart w:id="232" w:name="_Toc30562"/>
      <w:bookmarkStart w:id="233" w:name="_Toc11955"/>
      <w:bookmarkStart w:id="234" w:name="_Toc22609"/>
      <w:r>
        <w:rPr>
          <w:rFonts w:hint="eastAsia"/>
          <w:color w:val="auto"/>
          <w:highlight w:val="none"/>
        </w:rPr>
        <w:t>资产管理</w:t>
      </w:r>
      <w:bookmarkEnd w:id="227"/>
      <w:bookmarkEnd w:id="228"/>
      <w:bookmarkEnd w:id="229"/>
      <w:bookmarkEnd w:id="230"/>
      <w:bookmarkEnd w:id="231"/>
      <w:bookmarkEnd w:id="232"/>
      <w:bookmarkEnd w:id="233"/>
      <w:bookmarkEnd w:id="234"/>
    </w:p>
    <w:p w14:paraId="58948860">
      <w:pPr>
        <w:pStyle w:val="4"/>
        <w:rPr>
          <w:rFonts w:hint="eastAsia"/>
          <w:color w:val="auto"/>
          <w:highlight w:val="none"/>
        </w:rPr>
      </w:pPr>
      <w:r>
        <w:rPr>
          <w:rFonts w:hint="eastAsia"/>
          <w:color w:val="auto"/>
          <w:highlight w:val="none"/>
        </w:rPr>
        <w:t>　资产管理所需的基础资料应包含下列主要内容：</w:t>
      </w:r>
    </w:p>
    <w:p w14:paraId="5540BB1E">
      <w:pPr>
        <w:widowControl/>
        <w:numPr>
          <w:ilvl w:val="0"/>
          <w:numId w:val="8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3ECEBA47">
      <w:pPr>
        <w:widowControl/>
        <w:numPr>
          <w:ilvl w:val="0"/>
          <w:numId w:val="8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与资产管理相关的变更单、资产清单和资产编码表</w:t>
      </w:r>
      <w:r>
        <w:rPr>
          <w:rFonts w:hint="eastAsia" w:ascii="宋体" w:hAnsi="宋体" w:eastAsia="宋体"/>
          <w:bCs/>
          <w:color w:val="auto"/>
          <w:szCs w:val="32"/>
          <w:highlight w:val="none"/>
          <w:lang w:eastAsia="zh-CN"/>
        </w:rPr>
        <w:t>；</w:t>
      </w:r>
    </w:p>
    <w:p w14:paraId="2F574B7C">
      <w:pPr>
        <w:widowControl/>
        <w:numPr>
          <w:ilvl w:val="0"/>
          <w:numId w:val="8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空间基础信息表、空间属性定义表</w:t>
      </w:r>
      <w:r>
        <w:rPr>
          <w:rFonts w:hint="eastAsia" w:ascii="宋体" w:hAnsi="宋体" w:eastAsia="宋体"/>
          <w:bCs/>
          <w:color w:val="auto"/>
          <w:szCs w:val="32"/>
          <w:highlight w:val="none"/>
          <w:lang w:eastAsia="zh-CN"/>
        </w:rPr>
        <w:t>。</w:t>
      </w:r>
    </w:p>
    <w:p w14:paraId="42F7A8DE">
      <w:pPr>
        <w:pStyle w:val="4"/>
        <w:rPr>
          <w:rFonts w:hint="eastAsia"/>
          <w:color w:val="auto"/>
          <w:highlight w:val="none"/>
        </w:rPr>
      </w:pPr>
      <w:r>
        <w:rPr>
          <w:rFonts w:hint="eastAsia"/>
          <w:color w:val="auto"/>
          <w:highlight w:val="none"/>
        </w:rPr>
        <w:t>　资产管理宜按下列</w:t>
      </w:r>
      <w:r>
        <w:rPr>
          <w:rFonts w:hint="eastAsia"/>
          <w:color w:val="auto"/>
          <w:highlight w:val="none"/>
          <w:lang w:eastAsia="zh-CN"/>
        </w:rPr>
        <w:t>程序实施</w:t>
      </w:r>
      <w:r>
        <w:rPr>
          <w:rFonts w:hint="eastAsia"/>
          <w:color w:val="auto"/>
          <w:highlight w:val="none"/>
        </w:rPr>
        <w:t>：</w:t>
      </w:r>
    </w:p>
    <w:p w14:paraId="321617CD">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根据资产清单和资产编码表，建立设施设备编码与资产编码的映射关系；</w:t>
      </w:r>
    </w:p>
    <w:p w14:paraId="149BF46F">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基于运维模型，结合设施设备编码与资产编码的映射关系，形成资产管理模型；</w:t>
      </w:r>
    </w:p>
    <w:p w14:paraId="3DFCFB73">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当资产发生变更时，根据资产管理部门提供的资产变更文件，结合现场巡检报告，更新与维护资产管理模型及其数据，并对相关模型单元的资产编码进行逐个或批量维护；</w:t>
      </w:r>
    </w:p>
    <w:p w14:paraId="32C1653E">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基于资产管理模型，结合空间基础信息表与空间属性定义表建立映射关系，根据空间使用变化更新资产管理模型</w:t>
      </w:r>
      <w:r>
        <w:rPr>
          <w:rFonts w:hint="eastAsia" w:ascii="宋体" w:hAnsi="宋体" w:eastAsia="宋体"/>
          <w:bCs/>
          <w:color w:val="auto"/>
          <w:szCs w:val="32"/>
          <w:highlight w:val="none"/>
          <w:lang w:eastAsia="zh-CN"/>
        </w:rPr>
        <w:t>；</w:t>
      </w:r>
    </w:p>
    <w:p w14:paraId="2D473C4D">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基于资产管理模型，利用运维平台定期形成资产管理报表，辅助资产管理。</w:t>
      </w:r>
    </w:p>
    <w:p w14:paraId="20E1216D">
      <w:pPr>
        <w:pStyle w:val="4"/>
        <w:rPr>
          <w:rFonts w:hint="eastAsia"/>
          <w:color w:val="auto"/>
          <w:highlight w:val="none"/>
        </w:rPr>
      </w:pPr>
      <w:r>
        <w:rPr>
          <w:rFonts w:hint="eastAsia"/>
          <w:color w:val="auto"/>
          <w:highlight w:val="none"/>
        </w:rPr>
        <w:t>　辅助资产管理实施后的成果宜包含下列内容：</w:t>
      </w:r>
    </w:p>
    <w:p w14:paraId="77CC2910">
      <w:pPr>
        <w:widowControl/>
        <w:numPr>
          <w:ilvl w:val="0"/>
          <w:numId w:val="8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资产管理模型；</w:t>
      </w:r>
    </w:p>
    <w:p w14:paraId="6E503C2D">
      <w:pPr>
        <w:widowControl/>
        <w:numPr>
          <w:ilvl w:val="0"/>
          <w:numId w:val="8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资产管理报表。</w:t>
      </w:r>
    </w:p>
    <w:p w14:paraId="172183CF">
      <w:pPr>
        <w:pStyle w:val="3"/>
        <w:rPr>
          <w:rFonts w:hint="eastAsia"/>
          <w:color w:val="auto"/>
          <w:highlight w:val="none"/>
        </w:rPr>
      </w:pPr>
      <w:bookmarkStart w:id="235" w:name="_Toc30827"/>
      <w:bookmarkStart w:id="236" w:name="_Toc16200"/>
      <w:bookmarkStart w:id="237" w:name="_Toc29674"/>
      <w:bookmarkStart w:id="238" w:name="_Toc725"/>
      <w:bookmarkStart w:id="239" w:name="_Toc12823"/>
      <w:r>
        <w:rPr>
          <w:rFonts w:hint="eastAsia"/>
          <w:color w:val="auto"/>
          <w:highlight w:val="none"/>
        </w:rPr>
        <w:t>　</w:t>
      </w:r>
      <w:bookmarkStart w:id="240" w:name="_Toc7552"/>
      <w:bookmarkStart w:id="241" w:name="_Toc31276"/>
      <w:bookmarkStart w:id="242" w:name="_Toc3620"/>
      <w:r>
        <w:rPr>
          <w:rFonts w:hint="eastAsia"/>
          <w:color w:val="auto"/>
          <w:highlight w:val="none"/>
        </w:rPr>
        <w:t>设备集成与监控</w:t>
      </w:r>
      <w:bookmarkEnd w:id="235"/>
      <w:bookmarkEnd w:id="236"/>
      <w:bookmarkEnd w:id="237"/>
      <w:bookmarkEnd w:id="238"/>
      <w:bookmarkEnd w:id="239"/>
      <w:bookmarkEnd w:id="240"/>
      <w:bookmarkEnd w:id="241"/>
      <w:bookmarkEnd w:id="242"/>
    </w:p>
    <w:p w14:paraId="7BCA609B">
      <w:pPr>
        <w:pStyle w:val="4"/>
        <w:rPr>
          <w:rFonts w:hint="eastAsia"/>
          <w:color w:val="auto"/>
          <w:highlight w:val="none"/>
        </w:rPr>
      </w:pPr>
      <w:r>
        <w:rPr>
          <w:rFonts w:hint="eastAsia"/>
          <w:color w:val="auto"/>
          <w:highlight w:val="none"/>
        </w:rPr>
        <w:t>　设施设备管理所需的基础资料应包含下列主要内容：</w:t>
      </w:r>
    </w:p>
    <w:p w14:paraId="1DE9144B">
      <w:pPr>
        <w:widowControl/>
        <w:numPr>
          <w:ilvl w:val="0"/>
          <w:numId w:val="8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11BC5000">
      <w:pPr>
        <w:widowControl/>
        <w:numPr>
          <w:ilvl w:val="0"/>
          <w:numId w:val="8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设施设备管理台账；</w:t>
      </w:r>
    </w:p>
    <w:p w14:paraId="0055BFCF">
      <w:pPr>
        <w:widowControl/>
        <w:numPr>
          <w:ilvl w:val="0"/>
          <w:numId w:val="8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设施设备相关运行信息。</w:t>
      </w:r>
    </w:p>
    <w:p w14:paraId="74AC1754">
      <w:pPr>
        <w:pStyle w:val="4"/>
        <w:rPr>
          <w:rFonts w:hint="eastAsia"/>
          <w:color w:val="auto"/>
          <w:highlight w:val="none"/>
        </w:rPr>
      </w:pPr>
      <w:r>
        <w:rPr>
          <w:rFonts w:hint="eastAsia"/>
          <w:color w:val="auto"/>
          <w:highlight w:val="none"/>
        </w:rPr>
        <w:t>　设施设备管理宜按下列</w:t>
      </w:r>
      <w:r>
        <w:rPr>
          <w:rFonts w:hint="eastAsia"/>
          <w:color w:val="auto"/>
          <w:highlight w:val="none"/>
          <w:lang w:eastAsia="zh-CN"/>
        </w:rPr>
        <w:t>程序实施</w:t>
      </w:r>
      <w:r>
        <w:rPr>
          <w:rFonts w:hint="eastAsia"/>
          <w:color w:val="auto"/>
          <w:highlight w:val="none"/>
        </w:rPr>
        <w:t>：</w:t>
      </w:r>
    </w:p>
    <w:p w14:paraId="0907D507">
      <w:pPr>
        <w:widowControl/>
        <w:numPr>
          <w:ilvl w:val="0"/>
          <w:numId w:val="8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建立运维模型中的设施设备与设施设备管理台账对应关联关系；</w:t>
      </w:r>
    </w:p>
    <w:p w14:paraId="0C841170">
      <w:pPr>
        <w:widowControl/>
        <w:numPr>
          <w:ilvl w:val="0"/>
          <w:numId w:val="8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向设施设备模型添加设施设备相关运行信息，形成设施设备数字信息档案和设施设备管理模型；</w:t>
      </w:r>
    </w:p>
    <w:p w14:paraId="419DA963">
      <w:pPr>
        <w:widowControl/>
        <w:numPr>
          <w:ilvl w:val="0"/>
          <w:numId w:val="8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开发移动端或网页端功能模块集成设施设备相关运行数据、检修状态、可靠性评估等信息，辅助设施设备管理。</w:t>
      </w:r>
    </w:p>
    <w:p w14:paraId="5878218A">
      <w:pPr>
        <w:pStyle w:val="4"/>
        <w:rPr>
          <w:rFonts w:hint="eastAsia"/>
          <w:color w:val="auto"/>
          <w:highlight w:val="none"/>
        </w:rPr>
      </w:pPr>
      <w:r>
        <w:rPr>
          <w:rFonts w:hint="eastAsia"/>
          <w:color w:val="auto"/>
          <w:highlight w:val="none"/>
        </w:rPr>
        <w:t>　设施设备管理实施后的成果宜包含下列内容：</w:t>
      </w:r>
    </w:p>
    <w:p w14:paraId="13AB9E87">
      <w:pPr>
        <w:widowControl/>
        <w:numPr>
          <w:ilvl w:val="0"/>
          <w:numId w:val="85"/>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设施设备管理模型；</w:t>
      </w:r>
    </w:p>
    <w:p w14:paraId="39ED4A08">
      <w:pPr>
        <w:widowControl/>
        <w:numPr>
          <w:ilvl w:val="0"/>
          <w:numId w:val="85"/>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设施设备数字信息档案。</w:t>
      </w:r>
    </w:p>
    <w:p w14:paraId="5F3DD618">
      <w:pPr>
        <w:pStyle w:val="3"/>
        <w:rPr>
          <w:rFonts w:hint="eastAsia"/>
          <w:color w:val="auto"/>
          <w:highlight w:val="none"/>
        </w:rPr>
      </w:pPr>
      <w:bookmarkStart w:id="243" w:name="_Toc21710"/>
      <w:bookmarkStart w:id="244" w:name="_Toc3523"/>
      <w:bookmarkStart w:id="245" w:name="_Toc2149"/>
      <w:bookmarkStart w:id="246" w:name="_Toc12276"/>
      <w:bookmarkStart w:id="247" w:name="_Toc11323"/>
      <w:r>
        <w:rPr>
          <w:rFonts w:hint="eastAsia"/>
          <w:color w:val="auto"/>
          <w:highlight w:val="none"/>
        </w:rPr>
        <w:t>　</w:t>
      </w:r>
      <w:bookmarkStart w:id="248" w:name="_Toc31618"/>
      <w:bookmarkStart w:id="249" w:name="_Toc24319"/>
      <w:bookmarkStart w:id="250" w:name="_Toc17582"/>
      <w:r>
        <w:rPr>
          <w:rFonts w:hint="eastAsia"/>
          <w:color w:val="auto"/>
          <w:highlight w:val="none"/>
        </w:rPr>
        <w:t>应急管理</w:t>
      </w:r>
      <w:bookmarkEnd w:id="243"/>
      <w:bookmarkEnd w:id="244"/>
      <w:bookmarkEnd w:id="245"/>
      <w:bookmarkEnd w:id="246"/>
      <w:bookmarkEnd w:id="247"/>
      <w:bookmarkEnd w:id="248"/>
      <w:bookmarkEnd w:id="249"/>
      <w:bookmarkEnd w:id="250"/>
    </w:p>
    <w:p w14:paraId="624B319B">
      <w:pPr>
        <w:pStyle w:val="4"/>
        <w:rPr>
          <w:rFonts w:hint="eastAsia"/>
          <w:color w:val="auto"/>
          <w:highlight w:val="none"/>
        </w:rPr>
      </w:pPr>
      <w:r>
        <w:rPr>
          <w:rFonts w:hint="eastAsia"/>
          <w:color w:val="auto"/>
          <w:highlight w:val="none"/>
        </w:rPr>
        <w:t>　应急管理所需的基础资料应包含下列主要内容：</w:t>
      </w:r>
    </w:p>
    <w:p w14:paraId="79BAEDCF">
      <w:pPr>
        <w:widowControl/>
        <w:numPr>
          <w:ilvl w:val="0"/>
          <w:numId w:val="86"/>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13420AA0">
      <w:pPr>
        <w:widowControl/>
        <w:numPr>
          <w:ilvl w:val="0"/>
          <w:numId w:val="86"/>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应急指挥处置预案；</w:t>
      </w:r>
    </w:p>
    <w:p w14:paraId="679E494E">
      <w:pPr>
        <w:widowControl/>
        <w:numPr>
          <w:ilvl w:val="0"/>
          <w:numId w:val="86"/>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应急事件信息。</w:t>
      </w:r>
    </w:p>
    <w:p w14:paraId="3E6F237B">
      <w:pPr>
        <w:pStyle w:val="4"/>
        <w:rPr>
          <w:rFonts w:hint="eastAsia"/>
          <w:color w:val="auto"/>
          <w:highlight w:val="none"/>
        </w:rPr>
      </w:pPr>
      <w:r>
        <w:rPr>
          <w:rFonts w:hint="eastAsia"/>
          <w:color w:val="auto"/>
          <w:highlight w:val="none"/>
        </w:rPr>
        <w:t>　应急管理宜按下列</w:t>
      </w:r>
      <w:r>
        <w:rPr>
          <w:rFonts w:hint="eastAsia"/>
          <w:color w:val="auto"/>
          <w:highlight w:val="none"/>
          <w:lang w:eastAsia="zh-CN"/>
        </w:rPr>
        <w:t>程序实施</w:t>
      </w:r>
      <w:r>
        <w:rPr>
          <w:rFonts w:hint="eastAsia"/>
          <w:color w:val="auto"/>
          <w:highlight w:val="none"/>
        </w:rPr>
        <w:t>：</w:t>
      </w:r>
    </w:p>
    <w:p w14:paraId="48B0FFF9">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基于运维模型，结合应急指挥处置预案，利用运维平台建立应急管理模型，模拟应急指挥处置预案，形成应急指挥处置预案模拟视频；</w:t>
      </w:r>
    </w:p>
    <w:p w14:paraId="4958C893">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通过运维管理平台上报应急事件，并形成应急事件记录；</w:t>
      </w:r>
    </w:p>
    <w:p w14:paraId="6E13966D">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接收应急事件上报信息，匹配应急事件对应的位置信息和类型，播放对应应急指挥预案模拟视频；</w:t>
      </w:r>
    </w:p>
    <w:p w14:paraId="007ECA70">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应急指挥处置预案模拟视频处置应急事件，形成应急事件处置报告；</w:t>
      </w:r>
    </w:p>
    <w:p w14:paraId="1B28E176">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将历次发生的应急事件及其处置报告记录到事件数据库。</w:t>
      </w:r>
    </w:p>
    <w:p w14:paraId="0A5E3D3E">
      <w:pPr>
        <w:pStyle w:val="4"/>
        <w:rPr>
          <w:rFonts w:hint="eastAsia"/>
          <w:color w:val="auto"/>
          <w:highlight w:val="none"/>
        </w:rPr>
      </w:pPr>
      <w:r>
        <w:rPr>
          <w:rFonts w:hint="eastAsia"/>
          <w:color w:val="auto"/>
          <w:highlight w:val="none"/>
        </w:rPr>
        <w:t>　应急管理实施后的成果宜包含下列内容：</w:t>
      </w:r>
    </w:p>
    <w:p w14:paraId="5C603C8A">
      <w:pPr>
        <w:widowControl/>
        <w:numPr>
          <w:ilvl w:val="0"/>
          <w:numId w:val="8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应急管理模型；</w:t>
      </w:r>
    </w:p>
    <w:p w14:paraId="72FF677D">
      <w:pPr>
        <w:widowControl/>
        <w:numPr>
          <w:ilvl w:val="0"/>
          <w:numId w:val="88"/>
        </w:numPr>
        <w:spacing w:line="240" w:lineRule="auto"/>
        <w:ind w:firstLine="420" w:firstLineChars="0"/>
        <w:rPr>
          <w:rFonts w:hint="eastAsia" w:ascii="宋体" w:hAnsi="宋体" w:eastAsia="宋体"/>
          <w:bCs/>
          <w:color w:val="auto"/>
          <w:szCs w:val="32"/>
          <w:highlight w:val="none"/>
          <w:lang w:val="en-AU"/>
        </w:rPr>
      </w:pPr>
      <w:r>
        <w:rPr>
          <w:rFonts w:hint="eastAsia" w:ascii="宋体" w:hAnsi="宋体" w:eastAsia="宋体"/>
          <w:bCs/>
          <w:color w:val="auto"/>
          <w:szCs w:val="32"/>
          <w:highlight w:val="none"/>
        </w:rPr>
        <w:t>应急指挥预案模拟视频；</w:t>
      </w:r>
    </w:p>
    <w:p w14:paraId="4B321767">
      <w:pPr>
        <w:widowControl/>
        <w:numPr>
          <w:ilvl w:val="0"/>
          <w:numId w:val="88"/>
        </w:numPr>
        <w:spacing w:line="240" w:lineRule="auto"/>
        <w:ind w:firstLine="420" w:firstLineChars="0"/>
        <w:rPr>
          <w:rFonts w:hint="eastAsia" w:ascii="宋体" w:hAnsi="宋体" w:eastAsia="宋体"/>
          <w:bCs/>
          <w:color w:val="auto"/>
          <w:szCs w:val="32"/>
          <w:highlight w:val="none"/>
          <w:lang w:val="en-AU"/>
        </w:rPr>
      </w:pPr>
      <w:r>
        <w:rPr>
          <w:rFonts w:hint="eastAsia" w:ascii="宋体" w:hAnsi="宋体" w:eastAsia="宋体"/>
          <w:bCs/>
          <w:color w:val="auto"/>
          <w:szCs w:val="32"/>
          <w:highlight w:val="none"/>
          <w:lang w:val="en-AU"/>
        </w:rPr>
        <w:t>应急</w:t>
      </w:r>
      <w:r>
        <w:rPr>
          <w:rFonts w:hint="eastAsia" w:ascii="宋体" w:hAnsi="宋体" w:eastAsia="宋体"/>
          <w:bCs/>
          <w:color w:val="auto"/>
          <w:szCs w:val="32"/>
          <w:highlight w:val="none"/>
        </w:rPr>
        <w:t>事件记录；</w:t>
      </w:r>
    </w:p>
    <w:p w14:paraId="5BB8A0F5">
      <w:pPr>
        <w:widowControl/>
        <w:numPr>
          <w:ilvl w:val="0"/>
          <w:numId w:val="8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lang w:val="en-AU"/>
        </w:rPr>
        <w:t>应急事件处置报告</w:t>
      </w:r>
      <w:r>
        <w:rPr>
          <w:rFonts w:hint="eastAsia" w:ascii="宋体" w:hAnsi="宋体" w:eastAsia="宋体"/>
          <w:bCs/>
          <w:color w:val="auto"/>
          <w:szCs w:val="32"/>
          <w:highlight w:val="none"/>
        </w:rPr>
        <w:t>。</w:t>
      </w:r>
    </w:p>
    <w:p w14:paraId="5503CF56">
      <w:pPr>
        <w:pStyle w:val="3"/>
        <w:rPr>
          <w:rFonts w:hint="eastAsia"/>
          <w:color w:val="auto"/>
          <w:highlight w:val="none"/>
        </w:rPr>
      </w:pPr>
      <w:bookmarkStart w:id="251" w:name="_Toc31816"/>
      <w:bookmarkStart w:id="252" w:name="_Toc18414"/>
      <w:bookmarkStart w:id="253" w:name="_Toc11618"/>
      <w:bookmarkStart w:id="254" w:name="_Toc13920"/>
      <w:bookmarkStart w:id="255" w:name="_Toc20933"/>
      <w:r>
        <w:rPr>
          <w:rFonts w:hint="eastAsia"/>
          <w:color w:val="auto"/>
          <w:highlight w:val="none"/>
        </w:rPr>
        <w:t>　</w:t>
      </w:r>
      <w:bookmarkStart w:id="256" w:name="_Toc3873"/>
      <w:bookmarkStart w:id="257" w:name="_Toc9220"/>
      <w:bookmarkStart w:id="258" w:name="_Toc21859"/>
      <w:r>
        <w:rPr>
          <w:rFonts w:hint="eastAsia"/>
          <w:color w:val="auto"/>
          <w:highlight w:val="none"/>
        </w:rPr>
        <w:t>维护管理</w:t>
      </w:r>
      <w:bookmarkEnd w:id="251"/>
      <w:bookmarkEnd w:id="252"/>
      <w:bookmarkEnd w:id="253"/>
      <w:bookmarkEnd w:id="254"/>
      <w:bookmarkEnd w:id="255"/>
      <w:bookmarkEnd w:id="256"/>
      <w:bookmarkEnd w:id="257"/>
      <w:bookmarkEnd w:id="258"/>
    </w:p>
    <w:p w14:paraId="0E360B82">
      <w:pPr>
        <w:pStyle w:val="4"/>
        <w:rPr>
          <w:rFonts w:hint="eastAsia"/>
          <w:color w:val="auto"/>
          <w:highlight w:val="none"/>
        </w:rPr>
      </w:pPr>
      <w:r>
        <w:rPr>
          <w:rFonts w:hint="eastAsia"/>
          <w:color w:val="auto"/>
          <w:highlight w:val="none"/>
        </w:rPr>
        <w:t>　维护管理所需的基础资料应包含下列主要内容：</w:t>
      </w:r>
    </w:p>
    <w:p w14:paraId="4A6437F8">
      <w:pPr>
        <w:widowControl/>
        <w:numPr>
          <w:ilvl w:val="0"/>
          <w:numId w:val="8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01C3F259">
      <w:pPr>
        <w:widowControl/>
        <w:numPr>
          <w:ilvl w:val="0"/>
          <w:numId w:val="8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维护方案；</w:t>
      </w:r>
    </w:p>
    <w:p w14:paraId="5534FE39">
      <w:pPr>
        <w:widowControl/>
        <w:numPr>
          <w:ilvl w:val="0"/>
          <w:numId w:val="8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各类作业指导书。</w:t>
      </w:r>
    </w:p>
    <w:p w14:paraId="6D09ABE5">
      <w:pPr>
        <w:pStyle w:val="4"/>
        <w:rPr>
          <w:rFonts w:hint="eastAsia"/>
          <w:color w:val="auto"/>
          <w:highlight w:val="none"/>
        </w:rPr>
      </w:pPr>
      <w:r>
        <w:rPr>
          <w:rFonts w:hint="eastAsia"/>
          <w:color w:val="auto"/>
          <w:highlight w:val="none"/>
        </w:rPr>
        <w:t>　维护管理宜按下列</w:t>
      </w:r>
      <w:r>
        <w:rPr>
          <w:rFonts w:hint="eastAsia"/>
          <w:color w:val="auto"/>
          <w:highlight w:val="none"/>
          <w:lang w:eastAsia="zh-CN"/>
        </w:rPr>
        <w:t>程序实施</w:t>
      </w:r>
      <w:r>
        <w:rPr>
          <w:rFonts w:hint="eastAsia"/>
          <w:color w:val="auto"/>
          <w:highlight w:val="none"/>
        </w:rPr>
        <w:t>：</w:t>
      </w:r>
    </w:p>
    <w:p w14:paraId="27146335">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根据维护方案，建立设施设备与维护方案的对应关系；</w:t>
      </w:r>
    </w:p>
    <w:p w14:paraId="542EBB33">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基于运维模型，结合维护设施设备与维护方案的对应关系，利用运维平台建立维护管理模型，形成维护计划；</w:t>
      </w:r>
    </w:p>
    <w:p w14:paraId="1FD0704A">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特种设备宜结合作业指导书，制定作业培训模拟方案并开展培训；</w:t>
      </w:r>
    </w:p>
    <w:p w14:paraId="1A709BC7">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通过维护计划，进行维护实施，并将实施结果与维护管理模型关联；</w:t>
      </w:r>
    </w:p>
    <w:p w14:paraId="6D14F369">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基于维护管理模型，利用运维平台定期形成维护管理文件，辅助维护管理。</w:t>
      </w:r>
    </w:p>
    <w:p w14:paraId="57CB0658">
      <w:pPr>
        <w:pStyle w:val="4"/>
        <w:rPr>
          <w:rFonts w:hint="eastAsia"/>
          <w:color w:val="auto"/>
          <w:highlight w:val="none"/>
        </w:rPr>
      </w:pPr>
      <w:r>
        <w:rPr>
          <w:rFonts w:hint="eastAsia"/>
          <w:color w:val="auto"/>
          <w:highlight w:val="none"/>
        </w:rPr>
        <w:t>　维护管理实施后的成果宜包含下列内容：</w:t>
      </w:r>
    </w:p>
    <w:p w14:paraId="22BF39E8">
      <w:pPr>
        <w:widowControl/>
        <w:numPr>
          <w:ilvl w:val="0"/>
          <w:numId w:val="9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维护管理模型；</w:t>
      </w:r>
    </w:p>
    <w:p w14:paraId="1D1D4E41">
      <w:pPr>
        <w:widowControl/>
        <w:numPr>
          <w:ilvl w:val="0"/>
          <w:numId w:val="9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维护管理文件。</w:t>
      </w:r>
    </w:p>
    <w:p w14:paraId="084FC658">
      <w:pPr>
        <w:pStyle w:val="3"/>
        <w:rPr>
          <w:rFonts w:hint="eastAsia"/>
          <w:color w:val="auto"/>
          <w:highlight w:val="none"/>
        </w:rPr>
      </w:pPr>
      <w:r>
        <w:rPr>
          <w:rFonts w:hint="eastAsia"/>
          <w:color w:val="auto"/>
          <w:highlight w:val="none"/>
        </w:rPr>
        <w:t>　</w:t>
      </w:r>
      <w:bookmarkStart w:id="259" w:name="_Toc17214"/>
      <w:r>
        <w:rPr>
          <w:rFonts w:hint="eastAsia"/>
          <w:color w:val="auto"/>
          <w:highlight w:val="none"/>
        </w:rPr>
        <w:t>平战转换</w:t>
      </w:r>
      <w:bookmarkEnd w:id="259"/>
      <w:r>
        <w:rPr>
          <w:rFonts w:hint="eastAsia"/>
          <w:color w:val="auto"/>
          <w:highlight w:val="none"/>
          <w:lang w:val="en-US" w:eastAsia="zh-CN"/>
        </w:rPr>
        <w:t>管理</w:t>
      </w:r>
    </w:p>
    <w:p w14:paraId="7778D051">
      <w:pPr>
        <w:pStyle w:val="4"/>
        <w:rPr>
          <w:rFonts w:hint="eastAsia"/>
          <w:color w:val="auto"/>
          <w:highlight w:val="none"/>
        </w:rPr>
      </w:pPr>
      <w:r>
        <w:rPr>
          <w:rFonts w:hint="eastAsia"/>
          <w:color w:val="auto"/>
          <w:highlight w:val="none"/>
        </w:rPr>
        <w:t>　平战转换所需的基础资料应包含下列主要内容：</w:t>
      </w:r>
    </w:p>
    <w:p w14:paraId="70DCB606">
      <w:pPr>
        <w:widowControl/>
        <w:numPr>
          <w:ilvl w:val="0"/>
          <w:numId w:val="9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平时（战时）</w:t>
      </w:r>
      <w:r>
        <w:rPr>
          <w:rFonts w:hint="eastAsia" w:ascii="宋体" w:hAnsi="宋体" w:eastAsia="宋体"/>
          <w:bCs/>
          <w:color w:val="auto"/>
          <w:szCs w:val="32"/>
          <w:highlight w:val="none"/>
        </w:rPr>
        <w:t>运维模型；</w:t>
      </w:r>
    </w:p>
    <w:p w14:paraId="5E3FF518">
      <w:pPr>
        <w:widowControl/>
        <w:numPr>
          <w:ilvl w:val="0"/>
          <w:numId w:val="9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平战转换设计文档。</w:t>
      </w:r>
    </w:p>
    <w:p w14:paraId="56AA8FBB">
      <w:pPr>
        <w:pStyle w:val="4"/>
        <w:rPr>
          <w:rFonts w:hint="eastAsia"/>
          <w:color w:val="auto"/>
          <w:highlight w:val="none"/>
        </w:rPr>
      </w:pPr>
      <w:r>
        <w:rPr>
          <w:rFonts w:hint="eastAsia"/>
          <w:color w:val="auto"/>
          <w:highlight w:val="none"/>
        </w:rPr>
        <w:t>　平战转换宜按下列</w:t>
      </w:r>
      <w:r>
        <w:rPr>
          <w:rFonts w:hint="eastAsia"/>
          <w:color w:val="auto"/>
          <w:highlight w:val="none"/>
          <w:lang w:eastAsia="zh-CN"/>
        </w:rPr>
        <w:t>程序实施</w:t>
      </w:r>
      <w:r>
        <w:rPr>
          <w:rFonts w:hint="eastAsia"/>
          <w:color w:val="auto"/>
          <w:highlight w:val="none"/>
        </w:rPr>
        <w:t>：</w:t>
      </w:r>
    </w:p>
    <w:p w14:paraId="6858D5FE">
      <w:pPr>
        <w:widowControl/>
        <w:numPr>
          <w:ilvl w:val="0"/>
          <w:numId w:val="9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依据平战转换设计文档，制定平战转换方案；</w:t>
      </w:r>
    </w:p>
    <w:p w14:paraId="3316620B">
      <w:pPr>
        <w:widowControl/>
        <w:numPr>
          <w:ilvl w:val="0"/>
          <w:numId w:val="9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根据平战转换方案，将已有的平时、战时运维模型导入模拟软件进行整合，生成</w:t>
      </w:r>
      <w:r>
        <w:rPr>
          <w:rFonts w:hint="eastAsia" w:ascii="宋体" w:hAnsi="宋体" w:eastAsia="宋体"/>
          <w:bCs/>
          <w:color w:val="auto"/>
          <w:szCs w:val="32"/>
          <w:highlight w:val="none"/>
        </w:rPr>
        <w:t>平战转换预案模拟视频；</w:t>
      </w:r>
    </w:p>
    <w:p w14:paraId="5397822F">
      <w:pPr>
        <w:widowControl/>
        <w:numPr>
          <w:ilvl w:val="0"/>
          <w:numId w:val="9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根据平战转换预案模拟视频，组织培训和实战演练，形成战时运维管理制度与操作规程。</w:t>
      </w:r>
    </w:p>
    <w:p w14:paraId="766A3949">
      <w:pPr>
        <w:pStyle w:val="4"/>
        <w:rPr>
          <w:rFonts w:hint="eastAsia"/>
          <w:color w:val="auto"/>
          <w:highlight w:val="none"/>
        </w:rPr>
      </w:pPr>
      <w:r>
        <w:rPr>
          <w:rFonts w:hint="eastAsia"/>
          <w:color w:val="auto"/>
          <w:highlight w:val="none"/>
        </w:rPr>
        <w:t>　平战转换实施后的成果宜包含下列内容：</w:t>
      </w:r>
    </w:p>
    <w:p w14:paraId="64249B28">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color w:val="auto"/>
          <w:highlight w:val="none"/>
        </w:rPr>
        <w:t>平战转换</w:t>
      </w:r>
      <w:r>
        <w:rPr>
          <w:rFonts w:hint="eastAsia" w:ascii="宋体" w:hAnsi="宋体" w:eastAsia="宋体"/>
          <w:bCs/>
          <w:color w:val="auto"/>
          <w:szCs w:val="32"/>
          <w:highlight w:val="none"/>
        </w:rPr>
        <w:t>方案；</w:t>
      </w:r>
    </w:p>
    <w:p w14:paraId="477CB472">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平战转换预案模拟视频</w:t>
      </w:r>
      <w:r>
        <w:rPr>
          <w:rFonts w:hint="eastAsia" w:ascii="宋体" w:hAnsi="宋体" w:eastAsia="宋体"/>
          <w:bCs/>
          <w:color w:val="auto"/>
          <w:szCs w:val="32"/>
          <w:highlight w:val="none"/>
          <w:lang w:eastAsia="zh-CN"/>
        </w:rPr>
        <w:t>；</w:t>
      </w:r>
    </w:p>
    <w:p w14:paraId="0A38AD4A">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战时运维管理制度；</w:t>
      </w:r>
    </w:p>
    <w:p w14:paraId="3B5CA78E">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战时运维操作规程。</w:t>
      </w:r>
    </w:p>
    <w:p w14:paraId="6C94CAD9">
      <w:pPr>
        <w:ind w:firstLine="0" w:firstLineChars="0"/>
        <w:rPr>
          <w:color w:val="auto"/>
          <w:highlight w:val="none"/>
        </w:rPr>
      </w:pPr>
      <w:r>
        <w:rPr>
          <w:rFonts w:hint="eastAsia"/>
          <w:color w:val="auto"/>
          <w:highlight w:val="none"/>
        </w:rPr>
        <w:br w:type="page"/>
      </w:r>
    </w:p>
    <w:p w14:paraId="2336E5FD">
      <w:pPr>
        <w:pStyle w:val="2"/>
        <w:numPr>
          <w:ilvl w:val="0"/>
          <w:numId w:val="0"/>
        </w:numPr>
        <w:rPr>
          <w:rFonts w:hint="eastAsia"/>
          <w:color w:val="auto"/>
          <w:highlight w:val="none"/>
        </w:rPr>
      </w:pPr>
      <w:bookmarkStart w:id="260" w:name="_Toc37947273"/>
      <w:bookmarkStart w:id="261" w:name="_Toc30510"/>
      <w:bookmarkStart w:id="262" w:name="_Toc18131"/>
      <w:bookmarkStart w:id="263" w:name="_Toc31504"/>
      <w:bookmarkStart w:id="264" w:name="_Toc12856"/>
      <w:bookmarkStart w:id="265" w:name="_Toc23961"/>
      <w:bookmarkStart w:id="266" w:name="_Toc9673"/>
      <w:bookmarkStart w:id="267" w:name="_Toc6060"/>
      <w:bookmarkStart w:id="268" w:name="_Toc26368"/>
      <w:bookmarkStart w:id="269" w:name="_Toc2455"/>
      <w:bookmarkStart w:id="270" w:name="_Toc32333"/>
      <w:r>
        <w:rPr>
          <w:rFonts w:hint="eastAsia"/>
          <w:color w:val="auto"/>
          <w:highlight w:val="none"/>
        </w:rPr>
        <w:t>附录</w:t>
      </w:r>
      <w:r>
        <w:rPr>
          <w:color w:val="auto"/>
          <w:highlight w:val="none"/>
        </w:rPr>
        <w:t>A</w:t>
      </w:r>
      <w:r>
        <w:rPr>
          <w:rFonts w:hint="eastAsia"/>
          <w:color w:val="auto"/>
          <w:highlight w:val="none"/>
        </w:rPr>
        <w:t>　</w:t>
      </w:r>
      <w:r>
        <w:rPr>
          <w:color w:val="auto"/>
          <w:highlight w:val="none"/>
        </w:rPr>
        <w:t>各阶段应用点</w:t>
      </w:r>
      <w:r>
        <w:rPr>
          <w:rFonts w:hint="eastAsia"/>
          <w:color w:val="auto"/>
          <w:highlight w:val="none"/>
        </w:rPr>
        <w:t>模型</w:t>
      </w:r>
      <w:r>
        <w:rPr>
          <w:rFonts w:hint="eastAsia"/>
          <w:color w:val="auto"/>
          <w:highlight w:val="none"/>
          <w:lang w:val="en-US"/>
        </w:rPr>
        <w:t>类别</w:t>
      </w:r>
      <w:r>
        <w:rPr>
          <w:rFonts w:hint="eastAsia"/>
          <w:color w:val="auto"/>
          <w:highlight w:val="none"/>
        </w:rPr>
        <w:t>需求</w:t>
      </w:r>
      <w:bookmarkEnd w:id="260"/>
      <w:bookmarkEnd w:id="261"/>
      <w:bookmarkEnd w:id="262"/>
      <w:bookmarkEnd w:id="263"/>
      <w:bookmarkEnd w:id="264"/>
      <w:bookmarkEnd w:id="265"/>
      <w:bookmarkEnd w:id="266"/>
      <w:bookmarkEnd w:id="267"/>
      <w:bookmarkEnd w:id="268"/>
      <w:bookmarkEnd w:id="269"/>
      <w:bookmarkEnd w:id="270"/>
    </w:p>
    <w:p w14:paraId="0C21D7D5">
      <w:pPr>
        <w:pStyle w:val="27"/>
        <w:rPr>
          <w:color w:val="auto"/>
          <w:highlight w:val="none"/>
          <w:lang w:val="en-AU"/>
        </w:rPr>
      </w:pPr>
      <w:r>
        <w:rPr>
          <w:color w:val="auto"/>
          <w:highlight w:val="none"/>
          <w:lang w:val="en-AU"/>
        </w:rPr>
        <w:t>表A</w:t>
      </w:r>
      <w:r>
        <w:rPr>
          <w:rFonts w:hint="eastAsia"/>
          <w:color w:val="auto"/>
          <w:highlight w:val="none"/>
          <w:lang w:val="en-AU"/>
        </w:rPr>
        <w:t>　</w:t>
      </w:r>
      <w:r>
        <w:rPr>
          <w:color w:val="auto"/>
          <w:highlight w:val="none"/>
          <w:lang w:val="en-AU"/>
        </w:rPr>
        <w:t>各阶段应用点模型</w:t>
      </w:r>
      <w:r>
        <w:rPr>
          <w:rFonts w:hint="eastAsia"/>
          <w:color w:val="auto"/>
          <w:highlight w:val="none"/>
        </w:rPr>
        <w:t>类别</w:t>
      </w:r>
      <w:r>
        <w:rPr>
          <w:rFonts w:hint="eastAsia"/>
          <w:color w:val="auto"/>
          <w:highlight w:val="none"/>
          <w:lang w:val="en-AU"/>
        </w:rPr>
        <w:t>需</w:t>
      </w:r>
      <w:r>
        <w:rPr>
          <w:color w:val="auto"/>
          <w:highlight w:val="none"/>
          <w:lang w:val="en-AU"/>
        </w:rPr>
        <w:t>求</w:t>
      </w:r>
    </w:p>
    <w:tbl>
      <w:tblPr>
        <w:tblStyle w:val="14"/>
        <w:tblW w:w="8824" w:type="dxa"/>
        <w:tblInd w:w="0" w:type="dxa"/>
        <w:tblLayout w:type="fixed"/>
        <w:tblCellMar>
          <w:top w:w="0" w:type="dxa"/>
          <w:left w:w="108" w:type="dxa"/>
          <w:bottom w:w="0" w:type="dxa"/>
          <w:right w:w="108" w:type="dxa"/>
        </w:tblCellMar>
      </w:tblPr>
      <w:tblGrid>
        <w:gridCol w:w="1478"/>
        <w:gridCol w:w="1049"/>
        <w:gridCol w:w="1049"/>
        <w:gridCol w:w="1049"/>
        <w:gridCol w:w="1049"/>
        <w:gridCol w:w="1049"/>
        <w:gridCol w:w="1049"/>
        <w:gridCol w:w="1052"/>
      </w:tblGrid>
      <w:tr w14:paraId="185B1FC9">
        <w:tblPrEx>
          <w:tblCellMar>
            <w:top w:w="0" w:type="dxa"/>
            <w:left w:w="108" w:type="dxa"/>
            <w:bottom w:w="0" w:type="dxa"/>
            <w:right w:w="108" w:type="dxa"/>
          </w:tblCellMar>
        </w:tblPrEx>
        <w:trPr>
          <w:trHeight w:val="323" w:hRule="atLeast"/>
        </w:trPr>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1AD58">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应用点</w:t>
            </w:r>
          </w:p>
        </w:tc>
        <w:tc>
          <w:tcPr>
            <w:tcW w:w="7346" w:type="dxa"/>
            <w:gridSpan w:val="7"/>
            <w:tcBorders>
              <w:top w:val="single" w:color="auto" w:sz="4" w:space="0"/>
              <w:left w:val="single" w:color="000000" w:sz="4" w:space="0"/>
              <w:bottom w:val="single" w:color="000000" w:sz="4" w:space="0"/>
              <w:right w:val="single" w:color="auto" w:sz="4" w:space="0"/>
            </w:tcBorders>
            <w:shd w:val="clear" w:color="auto" w:fill="auto"/>
            <w:vAlign w:val="center"/>
          </w:tcPr>
          <w:p w14:paraId="0C4DB601">
            <w:pPr>
              <w:widowControl/>
              <w:spacing w:line="240" w:lineRule="auto"/>
              <w:ind w:firstLine="0" w:firstLineChars="0"/>
              <w:jc w:val="center"/>
              <w:rPr>
                <w:rFonts w:hint="eastAsia" w:cs="宋体"/>
                <w:color w:val="auto"/>
                <w:kern w:val="0"/>
                <w:sz w:val="18"/>
                <w:szCs w:val="18"/>
                <w:highlight w:val="none"/>
              </w:rPr>
            </w:pPr>
            <w:r>
              <w:rPr>
                <w:rFonts w:hint="eastAsia" w:cs="宋体"/>
                <w:color w:val="auto"/>
                <w:kern w:val="0"/>
                <w:sz w:val="18"/>
                <w:szCs w:val="18"/>
                <w:highlight w:val="none"/>
              </w:rPr>
              <w:t>模型类别</w:t>
            </w:r>
          </w:p>
        </w:tc>
      </w:tr>
      <w:tr w14:paraId="23E4ADFB">
        <w:tblPrEx>
          <w:tblCellMar>
            <w:top w:w="0" w:type="dxa"/>
            <w:left w:w="108" w:type="dxa"/>
            <w:bottom w:w="0" w:type="dxa"/>
            <w:right w:w="108" w:type="dxa"/>
          </w:tblCellMar>
        </w:tblPrEx>
        <w:trPr>
          <w:trHeight w:val="753" w:hRule="atLeast"/>
        </w:trPr>
        <w:tc>
          <w:tcPr>
            <w:tcW w:w="1478" w:type="dxa"/>
            <w:vMerge w:val="continue"/>
            <w:tcBorders>
              <w:top w:val="single" w:color="000000" w:sz="4" w:space="0"/>
              <w:left w:val="single" w:color="000000" w:sz="4" w:space="0"/>
              <w:bottom w:val="single" w:color="000000" w:sz="4" w:space="0"/>
              <w:right w:val="single" w:color="000000" w:sz="4" w:space="0"/>
            </w:tcBorders>
            <w:vAlign w:val="center"/>
          </w:tcPr>
          <w:p w14:paraId="2B01A305">
            <w:pPr>
              <w:widowControl/>
              <w:spacing w:line="240" w:lineRule="auto"/>
              <w:ind w:firstLine="0" w:firstLineChars="0"/>
              <w:jc w:val="left"/>
              <w:rPr>
                <w:rFonts w:cs="宋体"/>
                <w:color w:val="auto"/>
                <w:kern w:val="0"/>
                <w:sz w:val="18"/>
                <w:szCs w:val="18"/>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BFD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方案设</w:t>
            </w:r>
          </w:p>
          <w:p w14:paraId="07E8ABA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C16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初步设</w:t>
            </w:r>
          </w:p>
          <w:p w14:paraId="451F213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A0F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61B195E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设计模型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4C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7C1D5A3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深化模型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BD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施工准</w:t>
            </w:r>
          </w:p>
          <w:p w14:paraId="666D25E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备模型</w:t>
            </w:r>
          </w:p>
        </w:tc>
        <w:tc>
          <w:tcPr>
            <w:tcW w:w="1049" w:type="dxa"/>
            <w:tcBorders>
              <w:top w:val="single" w:color="000000" w:sz="4" w:space="0"/>
              <w:left w:val="single" w:color="000000" w:sz="4" w:space="0"/>
              <w:bottom w:val="single" w:color="000000" w:sz="4" w:space="0"/>
              <w:right w:val="single" w:color="auto" w:sz="4" w:space="0"/>
            </w:tcBorders>
            <w:shd w:val="clear" w:color="auto" w:fill="auto"/>
            <w:vAlign w:val="center"/>
          </w:tcPr>
          <w:p w14:paraId="0452F59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施工实</w:t>
            </w:r>
          </w:p>
          <w:p w14:paraId="7DA56FC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施模型</w:t>
            </w:r>
          </w:p>
        </w:tc>
        <w:tc>
          <w:tcPr>
            <w:tcW w:w="105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16AB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运维</w:t>
            </w:r>
          </w:p>
          <w:p w14:paraId="3B96D135">
            <w:pPr>
              <w:widowControl/>
              <w:spacing w:line="240" w:lineRule="auto"/>
              <w:ind w:firstLine="0" w:firstLineChars="0"/>
              <w:jc w:val="center"/>
              <w:rPr>
                <w:rFonts w:eastAsia="宋体" w:cs="宋体"/>
                <w:color w:val="auto"/>
                <w:kern w:val="0"/>
                <w:sz w:val="18"/>
                <w:szCs w:val="18"/>
                <w:highlight w:val="none"/>
              </w:rPr>
            </w:pPr>
            <w:r>
              <w:rPr>
                <w:rFonts w:hint="eastAsia" w:cs="宋体"/>
                <w:color w:val="auto"/>
                <w:kern w:val="0"/>
                <w:sz w:val="18"/>
                <w:szCs w:val="18"/>
                <w:highlight w:val="none"/>
              </w:rPr>
              <w:t>模型</w:t>
            </w:r>
          </w:p>
        </w:tc>
      </w:tr>
      <w:tr w14:paraId="7A5DA4D9">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33DA">
            <w:pPr>
              <w:widowControl/>
              <w:spacing w:line="240" w:lineRule="auto"/>
              <w:ind w:firstLine="0" w:firstLineChars="0"/>
              <w:rPr>
                <w:rFonts w:eastAsia="宋体" w:cs="宋体"/>
                <w:color w:val="auto"/>
                <w:kern w:val="0"/>
                <w:sz w:val="18"/>
                <w:szCs w:val="18"/>
                <w:highlight w:val="none"/>
              </w:rPr>
            </w:pPr>
            <w:r>
              <w:rPr>
                <w:rFonts w:hint="eastAsia" w:eastAsia="宋体" w:cs="宋体"/>
                <w:color w:val="auto"/>
                <w:kern w:val="0"/>
                <w:sz w:val="18"/>
                <w:szCs w:val="18"/>
                <w:highlight w:val="none"/>
              </w:rPr>
              <w:t>规划控制管理</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F87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48B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AF7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AD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2DB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EC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auto" w:sz="4" w:space="0"/>
            </w:tcBorders>
            <w:shd w:val="clear" w:color="auto" w:fill="auto"/>
            <w:vAlign w:val="center"/>
          </w:tcPr>
          <w:p w14:paraId="6C39A43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0753F013">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523">
            <w:pPr>
              <w:widowControl/>
              <w:spacing w:line="240" w:lineRule="auto"/>
              <w:ind w:firstLine="0" w:firstLineChars="0"/>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周边环境分析</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6B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79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BF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8F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EC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C5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AA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E035BC1">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B87C">
            <w:pPr>
              <w:widowControl/>
              <w:spacing w:line="240" w:lineRule="auto"/>
              <w:ind w:firstLine="0" w:firstLineChars="0"/>
              <w:rPr>
                <w:rFonts w:hint="eastAsia" w:ascii="宋体" w:hAnsi="宋体" w:eastAsia="宋体" w:cs="宋体"/>
                <w:color w:val="auto"/>
                <w:kern w:val="0"/>
                <w:sz w:val="18"/>
                <w:szCs w:val="18"/>
                <w:highlight w:val="none"/>
              </w:rPr>
            </w:pPr>
            <w:r>
              <w:rPr>
                <w:rFonts w:hint="eastAsia" w:eastAsia="宋体" w:cs="宋体"/>
                <w:color w:val="auto"/>
                <w:kern w:val="0"/>
                <w:sz w:val="18"/>
                <w:szCs w:val="18"/>
                <w:highlight w:val="none"/>
              </w:rPr>
              <w:t>方案比选</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DA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FB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66F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61B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FFA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5B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E03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6EA0AD8E">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B8D">
            <w:pPr>
              <w:widowControl/>
              <w:spacing w:line="240" w:lineRule="auto"/>
              <w:ind w:firstLine="0" w:firstLineChars="0"/>
              <w:rPr>
                <w:rFonts w:hint="eastAsia" w:ascii="宋体" w:hAnsi="宋体" w:eastAsia="宋体" w:cs="宋体"/>
                <w:color w:val="auto"/>
                <w:kern w:val="0"/>
                <w:sz w:val="18"/>
                <w:szCs w:val="18"/>
                <w:highlight w:val="none"/>
              </w:rPr>
            </w:pPr>
            <w:r>
              <w:rPr>
                <w:rFonts w:hint="eastAsia" w:eastAsia="宋体" w:cs="宋体"/>
                <w:color w:val="auto"/>
                <w:kern w:val="0"/>
                <w:sz w:val="18"/>
                <w:szCs w:val="18"/>
                <w:highlight w:val="none"/>
              </w:rPr>
              <w:t>控制因素分析</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F2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AB8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CFA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23E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17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099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B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0EBA300">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1FE">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交通疏解模拟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B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4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F3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DC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CC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9AB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F9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27144AD">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018E">
            <w:pPr>
              <w:widowControl/>
              <w:spacing w:line="240" w:lineRule="auto"/>
              <w:ind w:firstLine="0" w:firstLineChars="0"/>
              <w:rPr>
                <w:rFonts w:eastAsia="宋体" w:cs="宋体"/>
                <w:color w:val="auto"/>
                <w:kern w:val="0"/>
                <w:sz w:val="18"/>
                <w:szCs w:val="18"/>
                <w:highlight w:val="none"/>
              </w:rPr>
            </w:pPr>
            <w:r>
              <w:rPr>
                <w:rFonts w:hint="eastAsia" w:cs="宋体"/>
                <w:color w:val="auto"/>
                <w:kern w:val="0"/>
                <w:sz w:val="18"/>
                <w:szCs w:val="18"/>
                <w:highlight w:val="none"/>
              </w:rPr>
              <w:t>管线迁改模拟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4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EF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9E7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FF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1F2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3DB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4E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13B0F1E4">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5AC4">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设计方案深化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63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7D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8C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314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BF1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B5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E73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0814699E">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801">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管线综合与碰撞检查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9DC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4DC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039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71E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623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D9D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3A8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754D59CC">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8474">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净空检查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68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DD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E51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BE9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E2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D83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A7E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5EB37EF">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D900">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预留预埋核查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27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399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96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A78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EEF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418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A5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517FE44D">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28C">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工程量复核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A62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46B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EA8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7BB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BFB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F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9E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32CD743B">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EEDC">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装配式构件深化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152F">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8CCE">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A7C9">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81B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B90">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0277">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8EC">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r>
      <w:tr w14:paraId="46499403">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282">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机电管线深化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6BE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92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7AE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49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294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066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CD0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E398854">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0F95">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装饰装修深化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E7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1BB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DC9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E5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5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CB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B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1182D52">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459">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设备选型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D80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C9D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DD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90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E64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31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113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795B507">
        <w:tblPrEx>
          <w:tblCellMar>
            <w:top w:w="0" w:type="dxa"/>
            <w:left w:w="108" w:type="dxa"/>
            <w:bottom w:w="0" w:type="dxa"/>
            <w:right w:w="108" w:type="dxa"/>
          </w:tblCellMar>
        </w:tblPrEx>
        <w:trPr>
          <w:trHeight w:val="579" w:hRule="atLeast"/>
        </w:trPr>
        <w:tc>
          <w:tcPr>
            <w:tcW w:w="1478" w:type="dxa"/>
            <w:tcBorders>
              <w:top w:val="single" w:color="auto" w:sz="4" w:space="0"/>
              <w:left w:val="single" w:color="auto" w:sz="4" w:space="0"/>
              <w:bottom w:val="single" w:color="auto" w:sz="4" w:space="0"/>
              <w:right w:val="single" w:color="auto" w:sz="4" w:space="0"/>
            </w:tcBorders>
            <w:vAlign w:val="center"/>
          </w:tcPr>
          <w:p w14:paraId="578F8CA9">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施工场地规划</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3914227C">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47BC8E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2BD67E2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EB1DE1A">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68A2800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3D16A506">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14:paraId="4111166A">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r>
      <w:tr w14:paraId="3D8984E8">
        <w:tblPrEx>
          <w:tblCellMar>
            <w:top w:w="0" w:type="dxa"/>
            <w:left w:w="108" w:type="dxa"/>
            <w:bottom w:w="0" w:type="dxa"/>
            <w:right w:w="108" w:type="dxa"/>
          </w:tblCellMar>
        </w:tblPrEx>
        <w:trPr>
          <w:trHeight w:val="576" w:hRule="atLeast"/>
        </w:trPr>
        <w:tc>
          <w:tcPr>
            <w:tcW w:w="1478" w:type="dxa"/>
            <w:tcBorders>
              <w:top w:val="single" w:color="auto" w:sz="4" w:space="0"/>
              <w:left w:val="single" w:color="auto" w:sz="4" w:space="0"/>
              <w:bottom w:val="single" w:color="auto" w:sz="4" w:space="0"/>
              <w:right w:val="single" w:color="auto" w:sz="4" w:space="0"/>
            </w:tcBorders>
            <w:vAlign w:val="center"/>
          </w:tcPr>
          <w:p w14:paraId="554EA32F">
            <w:pPr>
              <w:widowControl/>
              <w:spacing w:line="240" w:lineRule="auto"/>
              <w:ind w:firstLine="0" w:firstLineChars="0"/>
              <w:rPr>
                <w:rFonts w:hint="eastAsia" w:ascii="宋体" w:hAnsi="宋体" w:eastAsia="宋体" w:cs="宋体"/>
                <w:color w:val="auto"/>
                <w:kern w:val="0"/>
                <w:sz w:val="18"/>
                <w:szCs w:val="18"/>
                <w:highlight w:val="none"/>
              </w:rPr>
            </w:pPr>
            <w:r>
              <w:rPr>
                <w:rFonts w:hint="eastAsia" w:eastAsia="宋体" w:cs="宋体"/>
                <w:color w:val="auto"/>
                <w:kern w:val="0"/>
                <w:sz w:val="18"/>
                <w:szCs w:val="18"/>
                <w:highlight w:val="none"/>
              </w:rPr>
              <w:t>施工方案模拟</w:t>
            </w:r>
          </w:p>
        </w:tc>
        <w:tc>
          <w:tcPr>
            <w:tcW w:w="1049" w:type="dxa"/>
            <w:tcBorders>
              <w:top w:val="single" w:color="auto" w:sz="4" w:space="0"/>
              <w:left w:val="single" w:color="auto" w:sz="4" w:space="0"/>
              <w:bottom w:val="single" w:color="auto" w:sz="4" w:space="0"/>
              <w:right w:val="single" w:color="auto" w:sz="4" w:space="0"/>
            </w:tcBorders>
            <w:vAlign w:val="center"/>
          </w:tcPr>
          <w:p w14:paraId="44D73384">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EE028F2">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88F8529">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4F4470B">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A563FF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9E0F82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vAlign w:val="center"/>
          </w:tcPr>
          <w:p w14:paraId="2C7C746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345298DD">
        <w:tblPrEx>
          <w:tblCellMar>
            <w:top w:w="0" w:type="dxa"/>
            <w:left w:w="108" w:type="dxa"/>
            <w:bottom w:w="0" w:type="dxa"/>
            <w:right w:w="108" w:type="dxa"/>
          </w:tblCellMar>
        </w:tblPrEx>
        <w:trPr>
          <w:trHeight w:val="576" w:hRule="atLeast"/>
        </w:trPr>
        <w:tc>
          <w:tcPr>
            <w:tcW w:w="1478" w:type="dxa"/>
            <w:tcBorders>
              <w:top w:val="single" w:color="auto" w:sz="4" w:space="0"/>
              <w:left w:val="single" w:color="auto" w:sz="4" w:space="0"/>
              <w:bottom w:val="single" w:color="auto" w:sz="4" w:space="0"/>
              <w:right w:val="single" w:color="auto" w:sz="4" w:space="0"/>
            </w:tcBorders>
            <w:vAlign w:val="center"/>
          </w:tcPr>
          <w:p w14:paraId="5FBC7FB0">
            <w:pPr>
              <w:widowControl/>
              <w:spacing w:line="240" w:lineRule="auto"/>
              <w:ind w:firstLine="0" w:firstLineChars="0"/>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应急预案模拟</w:t>
            </w:r>
          </w:p>
        </w:tc>
        <w:tc>
          <w:tcPr>
            <w:tcW w:w="1049" w:type="dxa"/>
            <w:tcBorders>
              <w:top w:val="single" w:color="auto" w:sz="4" w:space="0"/>
              <w:left w:val="single" w:color="auto" w:sz="4" w:space="0"/>
              <w:bottom w:val="single" w:color="auto" w:sz="4" w:space="0"/>
              <w:right w:val="single" w:color="auto" w:sz="4" w:space="0"/>
            </w:tcBorders>
            <w:vAlign w:val="center"/>
          </w:tcPr>
          <w:p w14:paraId="5D7B60BF">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13B691C">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F3C3C5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4E31E3D">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0BB4B9">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420D74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vAlign w:val="center"/>
          </w:tcPr>
          <w:p w14:paraId="636EFFA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CA9B7E8">
        <w:tblPrEx>
          <w:tblCellMar>
            <w:top w:w="0" w:type="dxa"/>
            <w:left w:w="108" w:type="dxa"/>
            <w:bottom w:w="0" w:type="dxa"/>
            <w:right w:w="108" w:type="dxa"/>
          </w:tblCellMar>
        </w:tblPrEx>
        <w:trPr>
          <w:trHeight w:val="576" w:hRule="atLeast"/>
        </w:trPr>
        <w:tc>
          <w:tcPr>
            <w:tcW w:w="1478" w:type="dxa"/>
            <w:tcBorders>
              <w:top w:val="single" w:color="auto" w:sz="4" w:space="0"/>
              <w:left w:val="single" w:color="auto" w:sz="4" w:space="0"/>
              <w:bottom w:val="single" w:color="auto" w:sz="4" w:space="0"/>
              <w:right w:val="single" w:color="auto" w:sz="4" w:space="0"/>
            </w:tcBorders>
            <w:vAlign w:val="center"/>
          </w:tcPr>
          <w:p w14:paraId="5FBF1F0A">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进度管理</w:t>
            </w:r>
          </w:p>
        </w:tc>
        <w:tc>
          <w:tcPr>
            <w:tcW w:w="1049" w:type="dxa"/>
            <w:tcBorders>
              <w:top w:val="single" w:color="auto" w:sz="4" w:space="0"/>
              <w:left w:val="single" w:color="auto" w:sz="4" w:space="0"/>
              <w:bottom w:val="single" w:color="auto" w:sz="4" w:space="0"/>
              <w:right w:val="single" w:color="auto" w:sz="4" w:space="0"/>
            </w:tcBorders>
            <w:vAlign w:val="center"/>
          </w:tcPr>
          <w:p w14:paraId="4216AA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AA2A6E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CEABD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487A8B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35F6BF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EBD98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vAlign w:val="center"/>
          </w:tcPr>
          <w:p w14:paraId="5E465EA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bl>
    <w:p w14:paraId="1497BBA4">
      <w:pPr>
        <w:ind w:firstLine="360"/>
        <w:jc w:val="left"/>
        <w:rPr>
          <w:color w:val="auto"/>
          <w:sz w:val="18"/>
          <w:szCs w:val="18"/>
          <w:highlight w:val="none"/>
        </w:rPr>
      </w:pPr>
      <w:r>
        <w:rPr>
          <w:rFonts w:hint="eastAsia"/>
          <w:color w:val="auto"/>
          <w:sz w:val="18"/>
          <w:szCs w:val="18"/>
          <w:highlight w:val="none"/>
        </w:rPr>
        <w:br w:type="page"/>
      </w:r>
    </w:p>
    <w:p w14:paraId="1C064771">
      <w:pPr>
        <w:ind w:firstLine="360"/>
        <w:jc w:val="center"/>
        <w:rPr>
          <w:color w:val="auto"/>
          <w:sz w:val="18"/>
          <w:szCs w:val="18"/>
          <w:highlight w:val="none"/>
        </w:rPr>
      </w:pPr>
      <w:r>
        <w:rPr>
          <w:rFonts w:hint="eastAsia"/>
          <w:color w:val="auto"/>
          <w:sz w:val="18"/>
          <w:szCs w:val="18"/>
          <w:highlight w:val="none"/>
        </w:rPr>
        <w:t>续表A</w:t>
      </w:r>
    </w:p>
    <w:tbl>
      <w:tblPr>
        <w:tblStyle w:val="14"/>
        <w:tblW w:w="8824" w:type="dxa"/>
        <w:tblInd w:w="0" w:type="dxa"/>
        <w:tblLayout w:type="fixed"/>
        <w:tblCellMar>
          <w:top w:w="0" w:type="dxa"/>
          <w:left w:w="108" w:type="dxa"/>
          <w:bottom w:w="0" w:type="dxa"/>
          <w:right w:w="108" w:type="dxa"/>
        </w:tblCellMar>
      </w:tblPr>
      <w:tblGrid>
        <w:gridCol w:w="1481"/>
        <w:gridCol w:w="1049"/>
        <w:gridCol w:w="1049"/>
        <w:gridCol w:w="1049"/>
        <w:gridCol w:w="1049"/>
        <w:gridCol w:w="1049"/>
        <w:gridCol w:w="1049"/>
        <w:gridCol w:w="1049"/>
      </w:tblGrid>
      <w:tr w14:paraId="480A6DB2">
        <w:tblPrEx>
          <w:tblCellMar>
            <w:top w:w="0" w:type="dxa"/>
            <w:left w:w="108" w:type="dxa"/>
            <w:bottom w:w="0" w:type="dxa"/>
            <w:right w:w="108" w:type="dxa"/>
          </w:tblCellMar>
        </w:tblPrEx>
        <w:trPr>
          <w:trHeight w:val="321" w:hRule="atLeast"/>
        </w:trPr>
        <w:tc>
          <w:tcPr>
            <w:tcW w:w="1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F6AC1">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应用点</w:t>
            </w:r>
          </w:p>
        </w:tc>
        <w:tc>
          <w:tcPr>
            <w:tcW w:w="734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778088">
            <w:pPr>
              <w:widowControl/>
              <w:spacing w:line="240" w:lineRule="auto"/>
              <w:ind w:firstLine="0" w:firstLineChars="0"/>
              <w:jc w:val="center"/>
              <w:rPr>
                <w:rFonts w:hint="eastAsia" w:cs="宋体"/>
                <w:color w:val="auto"/>
                <w:kern w:val="0"/>
                <w:sz w:val="18"/>
                <w:szCs w:val="18"/>
                <w:highlight w:val="none"/>
              </w:rPr>
            </w:pPr>
            <w:r>
              <w:rPr>
                <w:rFonts w:hint="eastAsia" w:cs="宋体"/>
                <w:color w:val="auto"/>
                <w:kern w:val="0"/>
                <w:sz w:val="18"/>
                <w:szCs w:val="18"/>
                <w:highlight w:val="none"/>
              </w:rPr>
              <w:t>模型类别</w:t>
            </w:r>
          </w:p>
        </w:tc>
      </w:tr>
      <w:tr w14:paraId="3657AFE5">
        <w:tblPrEx>
          <w:tblCellMar>
            <w:top w:w="0" w:type="dxa"/>
            <w:left w:w="108" w:type="dxa"/>
            <w:bottom w:w="0" w:type="dxa"/>
            <w:right w:w="108" w:type="dxa"/>
          </w:tblCellMar>
        </w:tblPrEx>
        <w:trPr>
          <w:trHeight w:val="947"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14:paraId="1BA93FBD">
            <w:pPr>
              <w:widowControl/>
              <w:spacing w:line="240" w:lineRule="auto"/>
              <w:ind w:firstLine="0" w:firstLineChars="0"/>
              <w:jc w:val="left"/>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46FEEA5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方案设</w:t>
            </w:r>
          </w:p>
          <w:p w14:paraId="3C70B35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4A9C0E9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初步设</w:t>
            </w:r>
          </w:p>
          <w:p w14:paraId="5FE9248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E2B2F2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29BDACE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设计模型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6C9F3F2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3445E90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深化模型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790A483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施工准</w:t>
            </w:r>
          </w:p>
          <w:p w14:paraId="1A80BA6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备模型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77AB37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施工实</w:t>
            </w:r>
          </w:p>
          <w:p w14:paraId="1942C33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627078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运维</w:t>
            </w:r>
          </w:p>
          <w:p w14:paraId="0FD6967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模型</w:t>
            </w:r>
          </w:p>
        </w:tc>
      </w:tr>
      <w:tr w14:paraId="7B51514E">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39FA1556">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质量管理</w:t>
            </w:r>
          </w:p>
        </w:tc>
        <w:tc>
          <w:tcPr>
            <w:tcW w:w="1049" w:type="dxa"/>
            <w:tcBorders>
              <w:top w:val="single" w:color="auto" w:sz="4" w:space="0"/>
              <w:left w:val="single" w:color="auto" w:sz="4" w:space="0"/>
              <w:bottom w:val="single" w:color="auto" w:sz="4" w:space="0"/>
              <w:right w:val="single" w:color="auto" w:sz="4" w:space="0"/>
            </w:tcBorders>
            <w:vAlign w:val="center"/>
          </w:tcPr>
          <w:p w14:paraId="4A1164D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55D1A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F59268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A27AC4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F08480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BC100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4682B4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D4C6DBA">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79A9099B">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安全管理</w:t>
            </w:r>
          </w:p>
        </w:tc>
        <w:tc>
          <w:tcPr>
            <w:tcW w:w="1049" w:type="dxa"/>
            <w:tcBorders>
              <w:top w:val="single" w:color="auto" w:sz="4" w:space="0"/>
              <w:left w:val="single" w:color="auto" w:sz="4" w:space="0"/>
              <w:bottom w:val="single" w:color="auto" w:sz="4" w:space="0"/>
              <w:right w:val="single" w:color="auto" w:sz="4" w:space="0"/>
            </w:tcBorders>
            <w:vAlign w:val="center"/>
          </w:tcPr>
          <w:p w14:paraId="64E26B4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D3A794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74A931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2FAE44D">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E15483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1807C1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F7742D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5B06044">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081A4BD2">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成本管理</w:t>
            </w:r>
          </w:p>
        </w:tc>
        <w:tc>
          <w:tcPr>
            <w:tcW w:w="1049" w:type="dxa"/>
            <w:tcBorders>
              <w:top w:val="single" w:color="auto" w:sz="4" w:space="0"/>
              <w:left w:val="single" w:color="auto" w:sz="4" w:space="0"/>
              <w:bottom w:val="single" w:color="auto" w:sz="4" w:space="0"/>
              <w:right w:val="single" w:color="auto" w:sz="4" w:space="0"/>
            </w:tcBorders>
            <w:vAlign w:val="center"/>
          </w:tcPr>
          <w:p w14:paraId="73DB633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2795FF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5624DE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752ACD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9BCC65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A11A71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219752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6C571A30">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7A69D749">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竣工交付</w:t>
            </w:r>
          </w:p>
        </w:tc>
        <w:tc>
          <w:tcPr>
            <w:tcW w:w="1049" w:type="dxa"/>
            <w:tcBorders>
              <w:top w:val="single" w:color="auto" w:sz="4" w:space="0"/>
              <w:left w:val="single" w:color="auto" w:sz="4" w:space="0"/>
              <w:bottom w:val="single" w:color="auto" w:sz="4" w:space="0"/>
              <w:right w:val="single" w:color="auto" w:sz="4" w:space="0"/>
            </w:tcBorders>
            <w:vAlign w:val="center"/>
          </w:tcPr>
          <w:p w14:paraId="4975006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89D7D6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CE0E0A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A16AF9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35B470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FC0346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66C1B1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5A39ACD1">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392A5F78">
            <w:pPr>
              <w:widowControl/>
              <w:spacing w:line="240" w:lineRule="auto"/>
              <w:ind w:firstLine="0" w:firstLineChars="0"/>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资产管理</w:t>
            </w:r>
          </w:p>
        </w:tc>
        <w:tc>
          <w:tcPr>
            <w:tcW w:w="1049" w:type="dxa"/>
            <w:tcBorders>
              <w:top w:val="single" w:color="auto" w:sz="4" w:space="0"/>
              <w:left w:val="single" w:color="auto" w:sz="4" w:space="0"/>
              <w:bottom w:val="single" w:color="auto" w:sz="4" w:space="0"/>
              <w:right w:val="single" w:color="auto" w:sz="4" w:space="0"/>
            </w:tcBorders>
            <w:vAlign w:val="center"/>
          </w:tcPr>
          <w:p w14:paraId="299D4434">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14E4EEB">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436408D">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0571706">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1B04B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F8FC707">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61A4E4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1FDDE76B">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71A7C283">
            <w:pPr>
              <w:widowControl/>
              <w:spacing w:line="240" w:lineRule="auto"/>
              <w:ind w:firstLine="0" w:firstLineChars="0"/>
              <w:rPr>
                <w:rFonts w:hint="eastAsia" w:ascii="宋体" w:hAnsi="宋体" w:cs="宋体"/>
                <w:color w:val="auto"/>
                <w:kern w:val="0"/>
                <w:sz w:val="18"/>
                <w:szCs w:val="18"/>
                <w:highlight w:val="none"/>
              </w:rPr>
            </w:pPr>
            <w:r>
              <w:rPr>
                <w:rFonts w:hint="eastAsia" w:cs="宋体"/>
                <w:color w:val="auto"/>
                <w:kern w:val="0"/>
                <w:sz w:val="18"/>
                <w:szCs w:val="18"/>
                <w:highlight w:val="none"/>
              </w:rPr>
              <w:t>设备集成与监控</w:t>
            </w:r>
          </w:p>
        </w:tc>
        <w:tc>
          <w:tcPr>
            <w:tcW w:w="1049" w:type="dxa"/>
            <w:tcBorders>
              <w:top w:val="single" w:color="auto" w:sz="4" w:space="0"/>
              <w:left w:val="single" w:color="auto" w:sz="4" w:space="0"/>
              <w:bottom w:val="single" w:color="auto" w:sz="4" w:space="0"/>
              <w:right w:val="single" w:color="auto" w:sz="4" w:space="0"/>
            </w:tcBorders>
            <w:vAlign w:val="center"/>
          </w:tcPr>
          <w:p w14:paraId="4BDE0DB5">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0C0A4CF">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97F5AB0">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5C6E256">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9E5D342">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0E678E7">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1D0BC8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D4F99EB">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1F03B79C">
            <w:pPr>
              <w:widowControl/>
              <w:spacing w:line="240" w:lineRule="auto"/>
              <w:ind w:firstLine="0" w:firstLineChars="0"/>
              <w:rPr>
                <w:rFonts w:hint="eastAsia" w:ascii="宋体" w:hAnsi="宋体" w:cs="宋体"/>
                <w:color w:val="auto"/>
                <w:kern w:val="0"/>
                <w:sz w:val="18"/>
                <w:szCs w:val="18"/>
                <w:highlight w:val="none"/>
              </w:rPr>
            </w:pPr>
            <w:r>
              <w:rPr>
                <w:rFonts w:hint="eastAsia" w:cs="宋体"/>
                <w:color w:val="auto"/>
                <w:kern w:val="0"/>
                <w:sz w:val="18"/>
                <w:szCs w:val="18"/>
                <w:highlight w:val="none"/>
              </w:rPr>
              <w:t>应急管理</w:t>
            </w:r>
          </w:p>
        </w:tc>
        <w:tc>
          <w:tcPr>
            <w:tcW w:w="1049" w:type="dxa"/>
            <w:tcBorders>
              <w:top w:val="single" w:color="auto" w:sz="4" w:space="0"/>
              <w:left w:val="single" w:color="auto" w:sz="4" w:space="0"/>
              <w:bottom w:val="single" w:color="auto" w:sz="4" w:space="0"/>
              <w:right w:val="single" w:color="auto" w:sz="4" w:space="0"/>
            </w:tcBorders>
            <w:vAlign w:val="center"/>
          </w:tcPr>
          <w:p w14:paraId="6CA796F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45669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208047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8A10C3E">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55FA8B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1D99BE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434167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50873900">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61D0A469">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维护管理</w:t>
            </w:r>
          </w:p>
        </w:tc>
        <w:tc>
          <w:tcPr>
            <w:tcW w:w="1049" w:type="dxa"/>
            <w:tcBorders>
              <w:top w:val="single" w:color="auto" w:sz="4" w:space="0"/>
              <w:left w:val="single" w:color="auto" w:sz="4" w:space="0"/>
              <w:bottom w:val="single" w:color="auto" w:sz="4" w:space="0"/>
              <w:right w:val="single" w:color="auto" w:sz="4" w:space="0"/>
            </w:tcBorders>
            <w:vAlign w:val="center"/>
          </w:tcPr>
          <w:p w14:paraId="1C403A6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70CFDE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87525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13789EE">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AB3375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5DFFA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BDDA17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39C75194">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6EA2A3BE">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平战转换</w:t>
            </w:r>
          </w:p>
        </w:tc>
        <w:tc>
          <w:tcPr>
            <w:tcW w:w="1049" w:type="dxa"/>
            <w:tcBorders>
              <w:top w:val="single" w:color="auto" w:sz="4" w:space="0"/>
              <w:left w:val="single" w:color="auto" w:sz="4" w:space="0"/>
              <w:bottom w:val="single" w:color="auto" w:sz="4" w:space="0"/>
              <w:right w:val="single" w:color="auto" w:sz="4" w:space="0"/>
            </w:tcBorders>
            <w:vAlign w:val="center"/>
          </w:tcPr>
          <w:p w14:paraId="70709BB1">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B11D641">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6554651">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0776EEF">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0E7BB0A">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4FF3DFB">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B8AE03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bl>
    <w:p w14:paraId="2E9160D3">
      <w:pPr>
        <w:ind w:firstLine="0" w:firstLineChars="0"/>
        <w:rPr>
          <w:color w:val="auto"/>
          <w:highlight w:val="none"/>
          <w:lang w:val="en-AU"/>
        </w:rPr>
      </w:pPr>
      <w:r>
        <w:rPr>
          <w:rFonts w:hint="eastAsia" w:cs="宋体"/>
          <w:color w:val="auto"/>
          <w:kern w:val="0"/>
          <w:sz w:val="18"/>
          <w:szCs w:val="18"/>
          <w:highlight w:val="none"/>
        </w:rPr>
        <w:t>　　注：表中●表示宜具备。</w:t>
      </w:r>
    </w:p>
    <w:p w14:paraId="0560309F">
      <w:pPr>
        <w:pStyle w:val="2"/>
        <w:numPr>
          <w:ilvl w:val="0"/>
          <w:numId w:val="0"/>
        </w:numPr>
        <w:rPr>
          <w:rFonts w:hint="eastAsia" w:ascii="宋体" w:hAnsi="宋体" w:eastAsia="宋体"/>
          <w:b/>
          <w:bCs w:val="0"/>
          <w:color w:val="auto"/>
          <w:sz w:val="24"/>
          <w:szCs w:val="24"/>
          <w:highlight w:val="none"/>
        </w:rPr>
      </w:pPr>
      <w:bookmarkStart w:id="271" w:name="_Toc12228"/>
      <w:bookmarkStart w:id="272" w:name="_Toc30644"/>
      <w:bookmarkStart w:id="273" w:name="_Toc9686"/>
      <w:bookmarkStart w:id="274" w:name="_Toc15927"/>
      <w:bookmarkStart w:id="275" w:name="_Toc27368"/>
      <w:bookmarkStart w:id="276" w:name="_Toc8809"/>
      <w:bookmarkStart w:id="277" w:name="_Toc10006"/>
      <w:bookmarkStart w:id="278" w:name="_Toc27681"/>
      <w:bookmarkStart w:id="279" w:name="_Toc28676"/>
      <w:bookmarkStart w:id="280" w:name="_Toc26985"/>
      <w:r>
        <w:rPr>
          <w:rFonts w:hint="eastAsia"/>
          <w:color w:val="auto"/>
          <w:highlight w:val="none"/>
        </w:rPr>
        <w:t>附录</w:t>
      </w:r>
      <w:r>
        <w:rPr>
          <w:rFonts w:hint="eastAsia"/>
          <w:color w:val="auto"/>
          <w:highlight w:val="none"/>
          <w:lang w:val="en-US"/>
        </w:rPr>
        <w:t>B</w:t>
      </w:r>
      <w:r>
        <w:rPr>
          <w:rFonts w:hint="eastAsia"/>
          <w:color w:val="auto"/>
          <w:highlight w:val="none"/>
        </w:rPr>
        <w:t>　各阶段应用点模型要求</w:t>
      </w:r>
    </w:p>
    <w:p w14:paraId="0761A2CF">
      <w:pPr>
        <w:ind w:firstLine="360"/>
        <w:jc w:val="center"/>
        <w:rPr>
          <w:color w:val="auto"/>
          <w:sz w:val="18"/>
          <w:szCs w:val="18"/>
          <w:highlight w:val="none"/>
        </w:rPr>
      </w:pPr>
      <w:r>
        <w:rPr>
          <w:rFonts w:hint="eastAsia"/>
          <w:color w:val="auto"/>
          <w:sz w:val="18"/>
          <w:szCs w:val="18"/>
          <w:highlight w:val="none"/>
          <w:lang w:val="en-AU"/>
        </w:rPr>
        <w:t>表</w:t>
      </w:r>
      <w:r>
        <w:rPr>
          <w:rFonts w:hint="eastAsia"/>
          <w:color w:val="auto"/>
          <w:sz w:val="18"/>
          <w:szCs w:val="18"/>
          <w:highlight w:val="none"/>
        </w:rPr>
        <w:t>B</w:t>
      </w:r>
      <w:r>
        <w:rPr>
          <w:rFonts w:hint="eastAsia"/>
          <w:color w:val="auto"/>
          <w:sz w:val="18"/>
          <w:szCs w:val="18"/>
          <w:highlight w:val="none"/>
          <w:lang w:val="en-AU"/>
        </w:rPr>
        <w:t>　</w:t>
      </w:r>
      <w:r>
        <w:rPr>
          <w:color w:val="auto"/>
          <w:sz w:val="18"/>
          <w:szCs w:val="18"/>
          <w:highlight w:val="none"/>
          <w:lang w:val="en-AU"/>
        </w:rPr>
        <w:t>各阶段应用点模型要求</w:t>
      </w:r>
    </w:p>
    <w:tbl>
      <w:tblPr>
        <w:tblStyle w:val="14"/>
        <w:tblW w:w="9548" w:type="dxa"/>
        <w:tblInd w:w="0" w:type="dxa"/>
        <w:tblLayout w:type="fixed"/>
        <w:tblCellMar>
          <w:top w:w="0" w:type="dxa"/>
          <w:left w:w="0" w:type="dxa"/>
          <w:bottom w:w="0" w:type="dxa"/>
          <w:right w:w="0" w:type="dxa"/>
        </w:tblCellMar>
      </w:tblPr>
      <w:tblGrid>
        <w:gridCol w:w="549"/>
        <w:gridCol w:w="1734"/>
        <w:gridCol w:w="7265"/>
      </w:tblGrid>
      <w:tr w14:paraId="1BBA2E01">
        <w:tblPrEx>
          <w:tblCellMar>
            <w:top w:w="0" w:type="dxa"/>
            <w:left w:w="0" w:type="dxa"/>
            <w:bottom w:w="0" w:type="dxa"/>
            <w:right w:w="0" w:type="dxa"/>
          </w:tblCellMar>
        </w:tblPrEx>
        <w:trPr>
          <w:trHeight w:val="377"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EC02">
            <w:pPr>
              <w:widowControl/>
              <w:spacing w:line="340" w:lineRule="exact"/>
              <w:ind w:firstLine="0" w:firstLineChars="0"/>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阶段</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2E25B">
            <w:pPr>
              <w:widowControl/>
              <w:spacing w:line="340" w:lineRule="exact"/>
              <w:ind w:firstLine="0" w:firstLineChars="0"/>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应用项</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0769">
            <w:pPr>
              <w:widowControl/>
              <w:spacing w:line="340" w:lineRule="exact"/>
              <w:ind w:firstLine="0" w:firstLineChars="0"/>
              <w:jc w:val="center"/>
              <w:textAlignment w:val="center"/>
              <w:rPr>
                <w:rFonts w:ascii="Times New Roman" w:hAnsi="Times New Roman" w:eastAsia="宋体" w:cs="Times New Roman"/>
                <w:color w:val="auto"/>
                <w:kern w:val="0"/>
                <w:sz w:val="18"/>
                <w:szCs w:val="18"/>
                <w:highlight w:val="none"/>
                <w:lang w:bidi="ar"/>
              </w:rPr>
            </w:pPr>
            <w:r>
              <w:rPr>
                <w:rFonts w:hint="eastAsia" w:ascii="Times New Roman" w:hAnsi="Times New Roman" w:eastAsia="宋体" w:cs="Times New Roman"/>
                <w:color w:val="auto"/>
                <w:kern w:val="0"/>
                <w:sz w:val="18"/>
                <w:szCs w:val="18"/>
                <w:highlight w:val="none"/>
                <w:lang w:bidi="ar"/>
              </w:rPr>
              <w:t>模型要求</w:t>
            </w:r>
          </w:p>
        </w:tc>
      </w:tr>
      <w:tr w14:paraId="0B08000C">
        <w:tblPrEx>
          <w:tblCellMar>
            <w:top w:w="0" w:type="dxa"/>
            <w:left w:w="0" w:type="dxa"/>
            <w:bottom w:w="0" w:type="dxa"/>
            <w:right w:w="0" w:type="dxa"/>
          </w:tblCellMar>
        </w:tblPrEx>
        <w:trPr>
          <w:trHeight w:val="510"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358B">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可行性研究阶段</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002A">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可行性研究阶段</w:t>
            </w:r>
          </w:p>
          <w:p w14:paraId="3AD510E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376F">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方案设计模型应体现完整的方案设计信息，并与报批信息保持一致，包括项目标识、建设说明、设计说明、技术经济指标等。</w:t>
            </w:r>
          </w:p>
        </w:tc>
      </w:tr>
      <w:tr w14:paraId="588BBED7">
        <w:tblPrEx>
          <w:tblCellMar>
            <w:top w:w="0" w:type="dxa"/>
            <w:left w:w="0" w:type="dxa"/>
            <w:bottom w:w="0" w:type="dxa"/>
            <w:right w:w="0" w:type="dxa"/>
          </w:tblCellMar>
        </w:tblPrEx>
        <w:trPr>
          <w:trHeight w:val="646"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342A">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4C30">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eastAsia="宋体" w:cs="宋体"/>
                <w:color w:val="auto"/>
                <w:kern w:val="0"/>
                <w:sz w:val="18"/>
                <w:szCs w:val="18"/>
                <w:highlight w:val="none"/>
              </w:rPr>
              <w:t>规划控制管理</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72D3">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规划控制模型在方案设计模型基础上还应包括建设地块、各类控制线（用地红线、紫线、绿线、黄线、蓝线）等信息。</w:t>
            </w:r>
          </w:p>
        </w:tc>
      </w:tr>
      <w:tr w14:paraId="0E582748">
        <w:tblPrEx>
          <w:tblCellMar>
            <w:top w:w="0" w:type="dxa"/>
            <w:left w:w="0" w:type="dxa"/>
            <w:bottom w:w="0" w:type="dxa"/>
            <w:right w:w="0" w:type="dxa"/>
          </w:tblCellMar>
        </w:tblPrEx>
        <w:trPr>
          <w:trHeight w:val="336"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5A99">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D7D3">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周边环境分析</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5613">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场地规划模型在方案设计模型基础上还应包括场地地形、建（构）筑物、周边环境条件等，并应包括坐标信息。</w:t>
            </w:r>
          </w:p>
        </w:tc>
      </w:tr>
      <w:tr w14:paraId="12827AFD">
        <w:tblPrEx>
          <w:tblCellMar>
            <w:top w:w="0" w:type="dxa"/>
            <w:left w:w="0" w:type="dxa"/>
            <w:bottom w:w="0" w:type="dxa"/>
            <w:right w:w="0" w:type="dxa"/>
          </w:tblCellMar>
        </w:tblPrEx>
        <w:trPr>
          <w:trHeight w:val="51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3D31">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2CEC">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方案比选</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FDB8">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设计方案比选模型应包括多个备选方案的完整的方案设计信息，还应包括建筑外观及周边景观方案设计信息。</w:t>
            </w:r>
          </w:p>
        </w:tc>
      </w:tr>
      <w:tr w14:paraId="6A246BB6">
        <w:tblPrEx>
          <w:tblCellMar>
            <w:top w:w="0" w:type="dxa"/>
            <w:left w:w="0" w:type="dxa"/>
            <w:bottom w:w="0" w:type="dxa"/>
            <w:right w:w="0" w:type="dxa"/>
          </w:tblCellMar>
        </w:tblPrEx>
        <w:trPr>
          <w:trHeight w:val="561" w:hRule="atLeast"/>
        </w:trPr>
        <w:tc>
          <w:tcPr>
            <w:tcW w:w="5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E97B0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初步设计阶段</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D64F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初步设计阶段</w:t>
            </w:r>
          </w:p>
          <w:p w14:paraId="76FB284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02B0">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初步设计模型应体现完整的结构、建筑及机电等各专业的初步设计方案。</w:t>
            </w:r>
          </w:p>
        </w:tc>
      </w:tr>
      <w:tr w14:paraId="034F50CD">
        <w:tblPrEx>
          <w:tblCellMar>
            <w:top w:w="0" w:type="dxa"/>
            <w:left w:w="0" w:type="dxa"/>
            <w:bottom w:w="0" w:type="dxa"/>
            <w:right w:w="0" w:type="dxa"/>
          </w:tblCellMar>
        </w:tblPrEx>
        <w:trPr>
          <w:trHeight w:val="561"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75FA2BC">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3EFA">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eastAsia="宋体" w:cs="宋体"/>
                <w:color w:val="auto"/>
                <w:kern w:val="0"/>
                <w:sz w:val="18"/>
                <w:szCs w:val="18"/>
                <w:highlight w:val="none"/>
              </w:rPr>
              <w:t>控制因素分析</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76C88">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控制因素分析模型在初步设计模型基础上还应包括地理信息数据、安全评估、环境影响评价等内容。</w:t>
            </w:r>
          </w:p>
        </w:tc>
      </w:tr>
      <w:tr w14:paraId="23B2F511">
        <w:tblPrEx>
          <w:tblCellMar>
            <w:top w:w="0" w:type="dxa"/>
            <w:left w:w="0" w:type="dxa"/>
            <w:bottom w:w="0" w:type="dxa"/>
            <w:right w:w="0" w:type="dxa"/>
          </w:tblCellMar>
        </w:tblPrEx>
        <w:trPr>
          <w:trHeight w:val="257"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BD0C9B">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D2F9">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交通疏解模拟</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8462">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交通疏解模型在初步设计模型基础上还应包括</w:t>
            </w:r>
            <w:r>
              <w:rPr>
                <w:rFonts w:ascii="宋体" w:hAnsi="宋体" w:eastAsia="宋体" w:cs="宋体"/>
                <w:color w:val="auto"/>
                <w:kern w:val="0"/>
                <w:sz w:val="18"/>
                <w:szCs w:val="18"/>
                <w:highlight w:val="none"/>
                <w:lang w:bidi="ar"/>
              </w:rPr>
              <w:t>交通疏解方案</w:t>
            </w:r>
            <w:r>
              <w:rPr>
                <w:rFonts w:hint="eastAsia" w:ascii="宋体" w:hAnsi="宋体" w:eastAsia="宋体" w:cs="宋体"/>
                <w:color w:val="auto"/>
                <w:kern w:val="0"/>
                <w:sz w:val="18"/>
                <w:szCs w:val="18"/>
                <w:highlight w:val="none"/>
                <w:lang w:bidi="ar"/>
              </w:rPr>
              <w:t>、交通组织方式、</w:t>
            </w:r>
            <w:r>
              <w:rPr>
                <w:rFonts w:ascii="宋体" w:hAnsi="宋体" w:eastAsia="宋体" w:cs="宋体"/>
                <w:color w:val="auto"/>
                <w:kern w:val="0"/>
                <w:sz w:val="18"/>
                <w:szCs w:val="18"/>
                <w:highlight w:val="none"/>
                <w:lang w:bidi="ar"/>
              </w:rPr>
              <w:t>交通</w:t>
            </w:r>
            <w:r>
              <w:rPr>
                <w:rFonts w:hint="eastAsia" w:ascii="宋体" w:hAnsi="宋体" w:eastAsia="宋体" w:cs="宋体"/>
                <w:color w:val="auto"/>
                <w:kern w:val="0"/>
                <w:sz w:val="18"/>
                <w:szCs w:val="18"/>
                <w:highlight w:val="none"/>
                <w:lang w:bidi="ar"/>
              </w:rPr>
              <w:t>流量</w:t>
            </w:r>
            <w:r>
              <w:rPr>
                <w:rFonts w:ascii="宋体" w:hAnsi="宋体" w:eastAsia="宋体" w:cs="宋体"/>
                <w:color w:val="auto"/>
                <w:kern w:val="0"/>
                <w:sz w:val="18"/>
                <w:szCs w:val="18"/>
                <w:highlight w:val="none"/>
                <w:lang w:bidi="ar"/>
              </w:rPr>
              <w:t>数据</w:t>
            </w:r>
            <w:r>
              <w:rPr>
                <w:rFonts w:hint="eastAsia" w:ascii="宋体" w:hAnsi="宋体" w:eastAsia="宋体" w:cs="宋体"/>
                <w:color w:val="auto"/>
                <w:kern w:val="0"/>
                <w:sz w:val="18"/>
                <w:szCs w:val="18"/>
                <w:highlight w:val="none"/>
                <w:lang w:bidi="ar"/>
              </w:rPr>
              <w:t>等信息。</w:t>
            </w:r>
          </w:p>
        </w:tc>
      </w:tr>
      <w:tr w14:paraId="638DB022">
        <w:tblPrEx>
          <w:tblCellMar>
            <w:top w:w="0" w:type="dxa"/>
            <w:left w:w="0" w:type="dxa"/>
            <w:bottom w:w="0" w:type="dxa"/>
            <w:right w:w="0" w:type="dxa"/>
          </w:tblCellMar>
        </w:tblPrEx>
        <w:trPr>
          <w:trHeight w:val="510"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2D0C42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3F74">
            <w:pPr>
              <w:widowControl/>
              <w:spacing w:line="240" w:lineRule="auto"/>
              <w:ind w:firstLine="0" w:firstLineChars="0"/>
              <w:jc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管线迁改模拟</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23CC">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管线迁改模型在初步设计模型基础上还应包括分期实施方案、管线迁改方案、现状管线模型等信息。</w:t>
            </w:r>
          </w:p>
        </w:tc>
      </w:tr>
      <w:tr w14:paraId="08D8629C">
        <w:tblPrEx>
          <w:tblCellMar>
            <w:top w:w="0" w:type="dxa"/>
            <w:left w:w="0" w:type="dxa"/>
            <w:bottom w:w="0" w:type="dxa"/>
            <w:right w:w="0" w:type="dxa"/>
          </w:tblCellMar>
        </w:tblPrEx>
        <w:trPr>
          <w:trHeight w:val="260"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38AA827">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ACC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设计方案深化</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F349">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设计方案深化模型在初步设计模型基础上还应包括空间布局调整、结构优化等内容。</w:t>
            </w:r>
          </w:p>
        </w:tc>
      </w:tr>
      <w:tr w14:paraId="356A64A8">
        <w:tblPrEx>
          <w:tblCellMar>
            <w:top w:w="0" w:type="dxa"/>
            <w:left w:w="0" w:type="dxa"/>
            <w:bottom w:w="0" w:type="dxa"/>
            <w:right w:w="0" w:type="dxa"/>
          </w:tblCellMar>
        </w:tblPrEx>
        <w:trPr>
          <w:trHeight w:val="270"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79BE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A1617">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施工图设计阶段</w:t>
            </w:r>
          </w:p>
          <w:p w14:paraId="07C93B9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2B231">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施工图设计模型应体现完整的建筑、结构及机电等各专业的施工图设计方案。</w:t>
            </w:r>
          </w:p>
        </w:tc>
      </w:tr>
      <w:tr w14:paraId="135D110E">
        <w:tblPrEx>
          <w:tblCellMar>
            <w:top w:w="0" w:type="dxa"/>
            <w:left w:w="0" w:type="dxa"/>
            <w:bottom w:w="0" w:type="dxa"/>
            <w:right w:w="0" w:type="dxa"/>
          </w:tblCellMar>
        </w:tblPrEx>
        <w:trPr>
          <w:trHeight w:val="510"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E0109">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EDF7C">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管线综合与</w:t>
            </w:r>
          </w:p>
          <w:p w14:paraId="44776EC0">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碰撞检查</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80468">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管线综合与碰撞检查模型在施工图设计模型基础上还应包括管线综合与碰撞检查技术要求等信息。</w:t>
            </w:r>
          </w:p>
        </w:tc>
      </w:tr>
      <w:tr w14:paraId="00BAA153">
        <w:tblPrEx>
          <w:tblCellMar>
            <w:top w:w="0" w:type="dxa"/>
            <w:left w:w="0" w:type="dxa"/>
            <w:bottom w:w="0" w:type="dxa"/>
            <w:right w:w="0" w:type="dxa"/>
          </w:tblCellMar>
        </w:tblPrEx>
        <w:trPr>
          <w:trHeight w:val="262"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D2E7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911C5">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净空检查</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3C6787">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净空检查模型在施工图设计模型基础上还应包括净空控制标准等信息。</w:t>
            </w:r>
          </w:p>
        </w:tc>
      </w:tr>
      <w:tr w14:paraId="6AB2BEB7">
        <w:tblPrEx>
          <w:tblCellMar>
            <w:top w:w="0" w:type="dxa"/>
            <w:left w:w="0" w:type="dxa"/>
            <w:bottom w:w="0" w:type="dxa"/>
            <w:right w:w="0" w:type="dxa"/>
          </w:tblCellMar>
        </w:tblPrEx>
        <w:trPr>
          <w:trHeight w:val="32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34571">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7F486">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预留预埋核查</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6BB1D">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预留预埋核查模型在施工图设计模型基础上还应包括预留孔洞和设备预埋设计资料、管线综合与碰撞检查报告等信息。</w:t>
            </w:r>
          </w:p>
        </w:tc>
      </w:tr>
      <w:tr w14:paraId="786C46B0">
        <w:tblPrEx>
          <w:tblCellMar>
            <w:top w:w="0" w:type="dxa"/>
            <w:left w:w="0" w:type="dxa"/>
            <w:bottom w:w="0" w:type="dxa"/>
            <w:right w:w="0" w:type="dxa"/>
          </w:tblCellMar>
        </w:tblPrEx>
        <w:trPr>
          <w:trHeight w:val="392"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8536E">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3747E">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工程量复核</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FDDA3">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工程量复核模型在施工图设计模型基础上还应包括工程量计算规则、分部分项工程量清单等信息。</w:t>
            </w:r>
          </w:p>
        </w:tc>
      </w:tr>
      <w:tr w14:paraId="2E8370CB">
        <w:tblPrEx>
          <w:tblCellMar>
            <w:top w:w="0" w:type="dxa"/>
            <w:left w:w="0" w:type="dxa"/>
            <w:bottom w:w="0" w:type="dxa"/>
            <w:right w:w="0" w:type="dxa"/>
          </w:tblCellMar>
        </w:tblPrEx>
        <w:trPr>
          <w:trHeight w:val="270" w:hRule="atLeast"/>
        </w:trPr>
        <w:tc>
          <w:tcPr>
            <w:tcW w:w="54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77CC24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施工图深化阶段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4FA90">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施工图设计阶段</w:t>
            </w:r>
          </w:p>
          <w:p w14:paraId="5E5DDDAB">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82765">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施工图深化模型应体现详细的建筑、结构及机电等各专业的施工图设计方案。</w:t>
            </w:r>
          </w:p>
        </w:tc>
      </w:tr>
      <w:tr w14:paraId="4A6BECC7">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35A6BD27">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8BE2B">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cs="宋体"/>
                <w:color w:val="auto"/>
                <w:kern w:val="0"/>
                <w:sz w:val="18"/>
                <w:szCs w:val="18"/>
                <w:highlight w:val="none"/>
              </w:rPr>
              <w:t>装配式构件深化</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17F30">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装配式构件加工模型在施工图设计模型基础上还应包括装配式构件的产品参数规格、模型编码，并应包括装配式加工模型的定位及装配顺序信息。</w:t>
            </w:r>
          </w:p>
        </w:tc>
      </w:tr>
      <w:tr w14:paraId="57C6FB52">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F4F84E4">
            <w:pPr>
              <w:widowControl/>
              <w:spacing w:line="340" w:lineRule="exact"/>
              <w:ind w:firstLine="0" w:firstLineChars="0"/>
              <w:jc w:val="center"/>
              <w:textAlignment w:val="center"/>
              <w:rPr>
                <w:rFonts w:cs="宋体"/>
                <w:color w:val="auto"/>
                <w:kern w:val="0"/>
                <w:sz w:val="18"/>
                <w:szCs w:val="18"/>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26BAC">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机电管线深化</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17F6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机电管线深化模型在施工图深化模型基础上还应包括各管线墙体间平面、剖面出图、交底等。</w:t>
            </w:r>
          </w:p>
        </w:tc>
      </w:tr>
      <w:tr w14:paraId="1EF4F7EE">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4ECF343">
            <w:pPr>
              <w:widowControl/>
              <w:spacing w:line="340" w:lineRule="exact"/>
              <w:ind w:firstLine="0" w:firstLineChars="0"/>
              <w:jc w:val="center"/>
              <w:textAlignment w:val="center"/>
              <w:rPr>
                <w:rFonts w:cs="宋体"/>
                <w:color w:val="auto"/>
                <w:kern w:val="0"/>
                <w:sz w:val="18"/>
                <w:szCs w:val="18"/>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6107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装饰装修深化</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2586E">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装饰装修深化模型在施工图设计模型基础上还应包括装修效果图和材质贴图，并应包括光照渲染等信息。</w:t>
            </w:r>
          </w:p>
        </w:tc>
      </w:tr>
      <w:tr w14:paraId="6452C02C">
        <w:tblPrEx>
          <w:tblCellMar>
            <w:top w:w="0" w:type="dxa"/>
            <w:left w:w="0" w:type="dxa"/>
            <w:bottom w:w="0" w:type="dxa"/>
            <w:right w:w="0" w:type="dxa"/>
          </w:tblCellMar>
        </w:tblPrEx>
        <w:trPr>
          <w:trHeight w:val="510" w:hRule="atLeast"/>
        </w:trPr>
        <w:tc>
          <w:tcPr>
            <w:tcW w:w="5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D5065">
            <w:pPr>
              <w:widowControl/>
              <w:spacing w:line="240" w:lineRule="auto"/>
              <w:ind w:firstLine="0" w:firstLineChars="0"/>
              <w:jc w:val="center"/>
              <w:rPr>
                <w:rFonts w:cs="宋体"/>
                <w:color w:val="auto"/>
                <w:kern w:val="0"/>
                <w:sz w:val="18"/>
                <w:szCs w:val="18"/>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8FBC5">
            <w:pPr>
              <w:widowControl/>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设备</w:t>
            </w:r>
            <w:r>
              <w:rPr>
                <w:rFonts w:hint="eastAsia" w:ascii="宋体" w:hAnsi="宋体" w:eastAsia="宋体" w:cs="宋体"/>
                <w:color w:val="auto"/>
                <w:kern w:val="0"/>
                <w:sz w:val="18"/>
                <w:szCs w:val="18"/>
                <w:highlight w:val="none"/>
                <w:lang w:val="en-US" w:eastAsia="zh-CN"/>
              </w:rPr>
              <w:t>选型</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0103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设备</w:t>
            </w:r>
            <w:r>
              <w:rPr>
                <w:rFonts w:hint="eastAsia" w:ascii="宋体" w:hAnsi="宋体" w:eastAsia="宋体" w:cs="宋体"/>
                <w:color w:val="auto"/>
                <w:kern w:val="0"/>
                <w:sz w:val="18"/>
                <w:szCs w:val="18"/>
                <w:highlight w:val="none"/>
                <w:lang w:val="en-US" w:eastAsia="zh-CN" w:bidi="ar"/>
              </w:rPr>
              <w:t>选型</w:t>
            </w:r>
            <w:r>
              <w:rPr>
                <w:rFonts w:hint="eastAsia" w:ascii="宋体" w:hAnsi="宋体" w:eastAsia="宋体" w:cs="宋体"/>
                <w:color w:val="auto"/>
                <w:kern w:val="0"/>
                <w:sz w:val="18"/>
                <w:szCs w:val="18"/>
                <w:highlight w:val="none"/>
                <w:lang w:bidi="ar"/>
              </w:rPr>
              <w:t>模型应包括</w:t>
            </w:r>
            <w:r>
              <w:rPr>
                <w:rFonts w:hint="eastAsia" w:ascii="宋体" w:hAnsi="宋体" w:eastAsia="宋体" w:cs="宋体"/>
                <w:color w:val="auto"/>
                <w:kern w:val="0"/>
                <w:sz w:val="18"/>
                <w:szCs w:val="18"/>
                <w:highlight w:val="none"/>
                <w:lang w:val="en-US" w:eastAsia="zh-CN" w:bidi="ar"/>
              </w:rPr>
              <w:t>设备尺寸、性能参数、工程设计要求</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技术规范</w:t>
            </w:r>
            <w:r>
              <w:rPr>
                <w:rFonts w:hint="eastAsia" w:ascii="宋体" w:hAnsi="宋体" w:eastAsia="宋体" w:cs="宋体"/>
                <w:color w:val="auto"/>
                <w:kern w:val="0"/>
                <w:sz w:val="18"/>
                <w:szCs w:val="18"/>
                <w:highlight w:val="none"/>
                <w:lang w:bidi="ar"/>
              </w:rPr>
              <w:t>等信息。</w:t>
            </w:r>
          </w:p>
        </w:tc>
      </w:tr>
    </w:tbl>
    <w:p w14:paraId="524B4CE7">
      <w:pPr>
        <w:ind w:firstLine="360"/>
        <w:jc w:val="center"/>
        <w:rPr>
          <w:color w:val="auto"/>
          <w:sz w:val="18"/>
          <w:szCs w:val="18"/>
          <w:highlight w:val="none"/>
        </w:rPr>
      </w:pPr>
      <w:r>
        <w:rPr>
          <w:rFonts w:hint="eastAsia"/>
          <w:color w:val="auto"/>
          <w:sz w:val="18"/>
          <w:szCs w:val="18"/>
          <w:highlight w:val="none"/>
        </w:rPr>
        <w:t>续表B</w:t>
      </w:r>
    </w:p>
    <w:tbl>
      <w:tblPr>
        <w:tblStyle w:val="14"/>
        <w:tblW w:w="9384" w:type="dxa"/>
        <w:tblInd w:w="0" w:type="dxa"/>
        <w:tblLayout w:type="fixed"/>
        <w:tblCellMar>
          <w:top w:w="0" w:type="dxa"/>
          <w:left w:w="0" w:type="dxa"/>
          <w:bottom w:w="0" w:type="dxa"/>
          <w:right w:w="0" w:type="dxa"/>
        </w:tblCellMar>
      </w:tblPr>
      <w:tblGrid>
        <w:gridCol w:w="549"/>
        <w:gridCol w:w="1734"/>
        <w:gridCol w:w="7101"/>
      </w:tblGrid>
      <w:tr w14:paraId="11606136">
        <w:tblPrEx>
          <w:tblCellMar>
            <w:top w:w="0" w:type="dxa"/>
            <w:left w:w="0" w:type="dxa"/>
            <w:bottom w:w="0" w:type="dxa"/>
            <w:right w:w="0" w:type="dxa"/>
          </w:tblCellMar>
        </w:tblPrEx>
        <w:trPr>
          <w:trHeight w:val="510" w:hRule="atLeast"/>
        </w:trPr>
        <w:tc>
          <w:tcPr>
            <w:tcW w:w="5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8A07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B67AA">
            <w:pPr>
              <w:widowControl/>
              <w:spacing w:line="340" w:lineRule="exact"/>
              <w:ind w:firstLine="0" w:firstLineChars="0"/>
              <w:jc w:val="center"/>
              <w:textAlignment w:val="center"/>
              <w:rPr>
                <w:rFonts w:cs="宋体"/>
                <w:color w:val="auto"/>
                <w:kern w:val="0"/>
                <w:sz w:val="18"/>
                <w:szCs w:val="18"/>
                <w:highlight w:val="none"/>
              </w:rPr>
            </w:pPr>
            <w:r>
              <w:rPr>
                <w:rFonts w:ascii="Times New Roman" w:hAnsi="Times New Roman" w:eastAsia="宋体" w:cs="Times New Roman"/>
                <w:color w:val="auto"/>
                <w:kern w:val="0"/>
                <w:sz w:val="18"/>
                <w:szCs w:val="18"/>
                <w:highlight w:val="none"/>
                <w:lang w:bidi="ar"/>
              </w:rPr>
              <w:t>应用项</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C18AB">
            <w:pPr>
              <w:widowControl/>
              <w:spacing w:line="340" w:lineRule="exact"/>
              <w:ind w:firstLine="0" w:firstLineChars="0"/>
              <w:jc w:val="center"/>
              <w:textAlignment w:val="center"/>
              <w:rPr>
                <w:rFonts w:hint="eastAsia" w:ascii="宋体" w:hAnsi="宋体"/>
                <w:color w:val="auto"/>
                <w:kern w:val="0"/>
                <w:sz w:val="18"/>
                <w:szCs w:val="18"/>
                <w:highlight w:val="none"/>
              </w:rPr>
            </w:pPr>
            <w:r>
              <w:rPr>
                <w:rFonts w:hint="eastAsia" w:ascii="Times New Roman" w:hAnsi="Times New Roman" w:eastAsia="宋体" w:cs="Times New Roman"/>
                <w:color w:val="auto"/>
                <w:kern w:val="0"/>
                <w:sz w:val="18"/>
                <w:szCs w:val="18"/>
                <w:highlight w:val="none"/>
                <w:lang w:bidi="ar"/>
              </w:rPr>
              <w:t>模型要求</w:t>
            </w:r>
          </w:p>
        </w:tc>
      </w:tr>
      <w:tr w14:paraId="5E97EFFF">
        <w:tblPrEx>
          <w:tblCellMar>
            <w:top w:w="0" w:type="dxa"/>
            <w:left w:w="0" w:type="dxa"/>
            <w:bottom w:w="0" w:type="dxa"/>
            <w:right w:w="0" w:type="dxa"/>
          </w:tblCellMar>
        </w:tblPrEx>
        <w:trPr>
          <w:trHeight w:val="510"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FEE76">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施工准备阶段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7EE43">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施工准备阶段</w:t>
            </w:r>
          </w:p>
          <w:p w14:paraId="0B448247">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基础模型构建</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46A8E">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施工准备模型应体现经施工单位深化后的完整的结构、建筑和机电等各专业的施工深化方案。</w:t>
            </w:r>
          </w:p>
        </w:tc>
      </w:tr>
      <w:tr w14:paraId="20123389">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C46E9B8">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FF7CA">
            <w:pPr>
              <w:widowControl/>
              <w:spacing w:line="240" w:lineRule="auto"/>
              <w:ind w:firstLine="0" w:firstLineChars="0"/>
              <w:jc w:val="center"/>
              <w:rPr>
                <w:rFonts w:hint="eastAsia" w:eastAsia="宋体" w:cs="宋体"/>
                <w:color w:val="auto"/>
                <w:kern w:val="0"/>
                <w:sz w:val="18"/>
                <w:szCs w:val="18"/>
                <w:highlight w:val="none"/>
              </w:rPr>
            </w:pPr>
            <w:r>
              <w:rPr>
                <w:rFonts w:hint="eastAsia" w:ascii="宋体" w:hAnsi="宋体" w:eastAsia="宋体" w:cs="宋体"/>
                <w:color w:val="auto"/>
                <w:kern w:val="0"/>
                <w:sz w:val="18"/>
                <w:szCs w:val="18"/>
                <w:highlight w:val="none"/>
              </w:rPr>
              <w:t>施工场地规划</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5504D">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在施工准备模型的基础上还应包含施工各阶段的场地地形、既有建筑设施、周边环境、施工区域、临时道路、临时设施、加工区域、材料堆场、临水临电、施工机械、安全文明施工设施等内容。</w:t>
            </w:r>
          </w:p>
        </w:tc>
      </w:tr>
      <w:tr w14:paraId="72AF46F1">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8D5EC9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27545">
            <w:pPr>
              <w:widowControl/>
              <w:spacing w:line="240" w:lineRule="auto"/>
              <w:ind w:firstLine="0" w:firstLineChars="0"/>
              <w:jc w:val="center"/>
              <w:rPr>
                <w:rFonts w:hint="eastAsia" w:eastAsia="宋体" w:cs="宋体"/>
                <w:color w:val="auto"/>
                <w:kern w:val="0"/>
                <w:sz w:val="18"/>
                <w:szCs w:val="18"/>
                <w:highlight w:val="none"/>
              </w:rPr>
            </w:pPr>
            <w:r>
              <w:rPr>
                <w:rFonts w:hint="eastAsia" w:eastAsia="宋体" w:cs="宋体"/>
                <w:color w:val="auto"/>
                <w:kern w:val="0"/>
                <w:sz w:val="18"/>
                <w:szCs w:val="18"/>
                <w:highlight w:val="none"/>
              </w:rPr>
              <w:t>施工方案模拟</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CB92C">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在施工准备模型基础上还应包括施工方案、施工进度计划、施工场地规划、大型设备的几何尺寸、大型设备安装方案、与运输安装路径中周边建筑物的空间位置关系信息，并应包括现场资源信息等内容。</w:t>
            </w:r>
          </w:p>
        </w:tc>
      </w:tr>
      <w:tr w14:paraId="02DF8FD8">
        <w:tblPrEx>
          <w:tblCellMar>
            <w:top w:w="0" w:type="dxa"/>
            <w:left w:w="0" w:type="dxa"/>
            <w:bottom w:w="0" w:type="dxa"/>
            <w:right w:w="0" w:type="dxa"/>
          </w:tblCellMar>
        </w:tblPrEx>
        <w:trPr>
          <w:trHeight w:val="510"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BBBD9">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AB633">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应急预案模拟</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70350">
            <w:pPr>
              <w:widowControl/>
              <w:spacing w:line="240" w:lineRule="auto"/>
              <w:ind w:firstLine="0" w:firstLineChars="0"/>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在施工准备模型基础上还应包括结构属性材料、消防风系统和消防水系统的设计参数，并应包括消防疏散标识、疏散路线、不同人数对疏散时间的要求等。</w:t>
            </w:r>
          </w:p>
        </w:tc>
      </w:tr>
      <w:tr w14:paraId="6DBE463F">
        <w:tblPrEx>
          <w:tblCellMar>
            <w:top w:w="0" w:type="dxa"/>
            <w:left w:w="0" w:type="dxa"/>
            <w:bottom w:w="0" w:type="dxa"/>
            <w:right w:w="0" w:type="dxa"/>
          </w:tblCellMar>
        </w:tblPrEx>
        <w:trPr>
          <w:trHeight w:val="510" w:hRule="atLeast"/>
        </w:trPr>
        <w:tc>
          <w:tcPr>
            <w:tcW w:w="54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57609D9">
            <w:pPr>
              <w:widowControl/>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cs="宋体"/>
                <w:color w:val="auto"/>
                <w:kern w:val="0"/>
                <w:sz w:val="18"/>
                <w:szCs w:val="18"/>
                <w:highlight w:val="none"/>
                <w:lang w:bidi="ar"/>
              </w:rPr>
              <w:t>施工实施阶段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0449A">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施工实施阶段</w:t>
            </w:r>
          </w:p>
          <w:p w14:paraId="5C26987C">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基础模型构建</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CD5E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施工实施模型应体现完整的结构、建筑和机电等各专业的施工实施方案。</w:t>
            </w:r>
          </w:p>
        </w:tc>
      </w:tr>
      <w:tr w14:paraId="7800AC32">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F51D742">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F303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进度管理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28209">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在施工实施模型基础上还应包括施工缺陷及风险的位置、时刻、类型和状态信息。</w:t>
            </w:r>
          </w:p>
        </w:tc>
      </w:tr>
      <w:tr w14:paraId="6ACCC147">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E5F69A1">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BD5B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质量管理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31FB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在施工实施模型基础将实际工程量、进度、质量检验、合同等信息能够按照分部分项挂接到模型构件中。</w:t>
            </w:r>
          </w:p>
        </w:tc>
      </w:tr>
      <w:tr w14:paraId="5434C290">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C2B013E">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7343B">
            <w:pPr>
              <w:widowControl/>
              <w:spacing w:line="240" w:lineRule="auto"/>
              <w:ind w:firstLine="0" w:firstLineChars="0"/>
              <w:jc w:val="center"/>
              <w:rPr>
                <w:rFonts w:cs="宋体"/>
                <w:color w:val="auto"/>
                <w:kern w:val="0"/>
                <w:sz w:val="18"/>
                <w:szCs w:val="18"/>
                <w:highlight w:val="none"/>
              </w:rPr>
            </w:pPr>
            <w:r>
              <w:rPr>
                <w:rFonts w:hint="eastAsia" w:ascii="宋体" w:hAnsi="宋体" w:eastAsia="宋体" w:cs="宋体"/>
                <w:color w:val="auto"/>
                <w:kern w:val="0"/>
                <w:sz w:val="18"/>
                <w:szCs w:val="18"/>
                <w:highlight w:val="none"/>
              </w:rPr>
              <w:t>安全管理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A2A49">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施工实施模型应体现完整的结构、建筑和机电等各专业的施工实施方案。</w:t>
            </w:r>
          </w:p>
        </w:tc>
      </w:tr>
      <w:tr w14:paraId="3D444FAA">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98A8D5B">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A61EC">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成本管理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22860">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在施工实施模型基础上还应包括进度计划、实际进度信息、进度偏差分析报告、进度计划变更记录等信息。</w:t>
            </w:r>
          </w:p>
        </w:tc>
      </w:tr>
      <w:tr w14:paraId="49BFDEEF">
        <w:tblPrEx>
          <w:tblCellMar>
            <w:top w:w="0" w:type="dxa"/>
            <w:left w:w="0" w:type="dxa"/>
            <w:bottom w:w="0" w:type="dxa"/>
            <w:right w:w="0" w:type="dxa"/>
          </w:tblCellMar>
        </w:tblPrEx>
        <w:trPr>
          <w:trHeight w:val="510" w:hRule="atLeast"/>
        </w:trPr>
        <w:tc>
          <w:tcPr>
            <w:tcW w:w="5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B66F7">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B8EE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竣工交付</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E4D33">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交付物成果竣工模型宜储存于光盘/移动硬盘等数据储存载体中，并应具有电子/纸质说明文档。图纸、文本等相关纸质成果交付形式应满足国家相关规定。</w:t>
            </w:r>
          </w:p>
        </w:tc>
      </w:tr>
      <w:tr w14:paraId="799BC734">
        <w:tblPrEx>
          <w:tblCellMar>
            <w:top w:w="0" w:type="dxa"/>
            <w:left w:w="0" w:type="dxa"/>
            <w:bottom w:w="0" w:type="dxa"/>
            <w:right w:w="0" w:type="dxa"/>
          </w:tblCellMar>
        </w:tblPrEx>
        <w:trPr>
          <w:trHeight w:val="510" w:hRule="atLeast"/>
        </w:trPr>
        <w:tc>
          <w:tcPr>
            <w:tcW w:w="54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92F4353">
            <w:pPr>
              <w:widowControl/>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cs="宋体"/>
                <w:color w:val="auto"/>
                <w:kern w:val="0"/>
                <w:sz w:val="18"/>
                <w:szCs w:val="18"/>
                <w:highlight w:val="none"/>
                <w:lang w:bidi="ar"/>
              </w:rPr>
              <w:t>运维阶段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DB1C5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运维阶段</w:t>
            </w:r>
          </w:p>
          <w:p w14:paraId="6B7FD42C">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基础模型构建</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0C807">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运维模型应体现与现场一致的、完整的结构、建筑、机电等各专业的竣工信息，并应包括设施设备的属性信息和关联资料。</w:t>
            </w:r>
          </w:p>
        </w:tc>
      </w:tr>
      <w:tr w14:paraId="62291869">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A243A2F">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4AFEF">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资产管理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4DD4EF">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资产管理模型在运维模型基础上还应包括资产编码、资产状态、资产变更历史记录等信息。</w:t>
            </w:r>
          </w:p>
        </w:tc>
      </w:tr>
      <w:tr w14:paraId="010F7C19">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2E42739">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79922">
            <w:pPr>
              <w:widowControl/>
              <w:spacing w:line="340" w:lineRule="exact"/>
              <w:ind w:firstLine="0" w:firstLineChars="0"/>
              <w:jc w:val="center"/>
              <w:textAlignment w:val="center"/>
              <w:rPr>
                <w:rFonts w:cs="宋体"/>
                <w:color w:val="auto"/>
                <w:kern w:val="0"/>
                <w:sz w:val="18"/>
                <w:szCs w:val="18"/>
                <w:highlight w:val="none"/>
              </w:rPr>
            </w:pPr>
            <w:r>
              <w:rPr>
                <w:rFonts w:hint="eastAsia" w:cs="宋体"/>
                <w:color w:val="auto"/>
                <w:kern w:val="0"/>
                <w:sz w:val="18"/>
                <w:szCs w:val="18"/>
                <w:highlight w:val="none"/>
              </w:rPr>
              <w:t>设备集成与监控</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6FAED">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能耗管理模型在运维模型基础上还应包括空间位置信息、设备设计参数、运行参数、历史统计数据等信息。</w:t>
            </w:r>
          </w:p>
        </w:tc>
      </w:tr>
      <w:tr w14:paraId="140FCC00">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0E59047">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F4FE0">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应急管理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F8F0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应急管理模型在运维模型基础上还应包括疏散标识、应急设备布置、应急事件发生时的设施设备状态参数历史记录等信息，并应包括疏散路线和其他应急响应预案中的信息。</w:t>
            </w:r>
          </w:p>
        </w:tc>
      </w:tr>
      <w:tr w14:paraId="17E05888">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511D157C">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1A15B">
            <w:pPr>
              <w:widowControl/>
              <w:ind w:firstLine="0" w:firstLineChars="0"/>
              <w:jc w:val="center"/>
              <w:textAlignment w:val="center"/>
              <w:rPr>
                <w:rFonts w:cs="宋体"/>
                <w:color w:val="auto"/>
                <w:kern w:val="0"/>
                <w:sz w:val="18"/>
                <w:szCs w:val="18"/>
                <w:highlight w:val="none"/>
              </w:rPr>
            </w:pPr>
            <w:r>
              <w:rPr>
                <w:rFonts w:hint="eastAsia" w:cs="宋体"/>
                <w:color w:val="auto"/>
                <w:sz w:val="18"/>
                <w:szCs w:val="18"/>
                <w:highlight w:val="none"/>
              </w:rPr>
              <w:t>维护管理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0A512">
            <w:pPr>
              <w:widowControl/>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维护管理模型在运维模型基础上还应包括维护方案、维护计划、维护结果记录等信息。</w:t>
            </w:r>
          </w:p>
        </w:tc>
      </w:tr>
      <w:tr w14:paraId="70AB64EF">
        <w:tblPrEx>
          <w:tblCellMar>
            <w:top w:w="0" w:type="dxa"/>
            <w:left w:w="0" w:type="dxa"/>
            <w:bottom w:w="0" w:type="dxa"/>
            <w:right w:w="0" w:type="dxa"/>
          </w:tblCellMar>
        </w:tblPrEx>
        <w:trPr>
          <w:trHeight w:val="510" w:hRule="atLeast"/>
        </w:trPr>
        <w:tc>
          <w:tcPr>
            <w:tcW w:w="5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45A03">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EA88E0">
            <w:pPr>
              <w:widowControl/>
              <w:ind w:firstLine="0" w:firstLineChars="0"/>
              <w:jc w:val="center"/>
              <w:textAlignment w:val="center"/>
              <w:rPr>
                <w:rFonts w:cs="宋体"/>
                <w:color w:val="auto"/>
                <w:kern w:val="0"/>
                <w:sz w:val="18"/>
                <w:szCs w:val="18"/>
                <w:highlight w:val="none"/>
              </w:rPr>
            </w:pPr>
            <w:r>
              <w:rPr>
                <w:rFonts w:hint="eastAsia" w:cs="宋体"/>
                <w:color w:val="auto"/>
                <w:sz w:val="18"/>
                <w:szCs w:val="18"/>
                <w:highlight w:val="none"/>
              </w:rPr>
              <w:t>平战转换</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CD668">
            <w:pPr>
              <w:widowControl/>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平战转换模型在运维模型基础上还应包括平战转换方案、战时功能布局等信息。</w:t>
            </w:r>
          </w:p>
        </w:tc>
      </w:tr>
    </w:tbl>
    <w:p w14:paraId="27BD4E4C">
      <w:pPr>
        <w:pStyle w:val="2"/>
        <w:numPr>
          <w:ilvl w:val="0"/>
          <w:numId w:val="0"/>
        </w:numPr>
        <w:rPr>
          <w:rFonts w:hint="eastAsia"/>
          <w:color w:val="auto"/>
          <w:highlight w:val="none"/>
        </w:rPr>
      </w:pPr>
      <w:r>
        <w:rPr>
          <w:color w:val="auto"/>
          <w:highlight w:val="none"/>
        </w:rPr>
        <w:t>本标准用词说明</w:t>
      </w:r>
      <w:bookmarkEnd w:id="271"/>
      <w:bookmarkEnd w:id="272"/>
      <w:bookmarkEnd w:id="273"/>
      <w:bookmarkEnd w:id="274"/>
      <w:bookmarkEnd w:id="275"/>
      <w:bookmarkEnd w:id="276"/>
      <w:bookmarkEnd w:id="277"/>
      <w:bookmarkEnd w:id="278"/>
      <w:bookmarkEnd w:id="279"/>
      <w:bookmarkEnd w:id="280"/>
    </w:p>
    <w:p w14:paraId="24719493">
      <w:pPr>
        <w:ind w:firstLine="420"/>
        <w:rPr>
          <w:color w:val="auto"/>
          <w:highlight w:val="none"/>
        </w:rPr>
      </w:pPr>
      <w:r>
        <w:rPr>
          <w:rFonts w:hint="eastAsia"/>
          <w:color w:val="auto"/>
          <w:highlight w:val="none"/>
        </w:rPr>
        <w:t>1　</w:t>
      </w:r>
      <w:r>
        <w:rPr>
          <w:color w:val="auto"/>
          <w:highlight w:val="none"/>
        </w:rPr>
        <w:t>为便于在执行本标准条文时区别对待，对于要求严格程度不同的用词说明如下</w:t>
      </w:r>
      <w:r>
        <w:rPr>
          <w:rFonts w:hint="eastAsia"/>
          <w:color w:val="auto"/>
          <w:highlight w:val="none"/>
        </w:rPr>
        <w:t>：</w:t>
      </w:r>
    </w:p>
    <w:p w14:paraId="345D9283">
      <w:pPr>
        <w:pStyle w:val="29"/>
        <w:widowControl/>
        <w:numPr>
          <w:ilvl w:val="0"/>
          <w:numId w:val="95"/>
        </w:numPr>
        <w:ind w:left="1134" w:hanging="221" w:firstLineChars="0"/>
        <w:jc w:val="left"/>
        <w:rPr>
          <w:color w:val="auto"/>
          <w:highlight w:val="none"/>
        </w:rPr>
      </w:pPr>
      <w:r>
        <w:rPr>
          <w:color w:val="auto"/>
          <w:highlight w:val="none"/>
        </w:rPr>
        <w:t>表示很严格，非这样做不可的</w:t>
      </w:r>
      <w:r>
        <w:rPr>
          <w:rFonts w:hint="eastAsia"/>
          <w:color w:val="auto"/>
          <w:highlight w:val="none"/>
        </w:rPr>
        <w:t>：</w:t>
      </w:r>
    </w:p>
    <w:p w14:paraId="04CA6D88">
      <w:pPr>
        <w:pStyle w:val="29"/>
        <w:ind w:left="1134" w:firstLine="0" w:firstLineChars="0"/>
        <w:rPr>
          <w:color w:val="auto"/>
          <w:highlight w:val="none"/>
        </w:rPr>
      </w:pPr>
      <w:r>
        <w:rPr>
          <w:rFonts w:hint="eastAsia"/>
          <w:color w:val="auto"/>
          <w:highlight w:val="none"/>
        </w:rPr>
        <w:t>正面词采用“必须”；反面词采用“严禁”；</w:t>
      </w:r>
    </w:p>
    <w:p w14:paraId="64D8A7E3">
      <w:pPr>
        <w:pStyle w:val="29"/>
        <w:widowControl/>
        <w:numPr>
          <w:ilvl w:val="0"/>
          <w:numId w:val="95"/>
        </w:numPr>
        <w:ind w:left="1134" w:hanging="221" w:firstLineChars="0"/>
        <w:jc w:val="left"/>
        <w:rPr>
          <w:color w:val="auto"/>
          <w:highlight w:val="none"/>
        </w:rPr>
      </w:pPr>
      <w:r>
        <w:rPr>
          <w:color w:val="auto"/>
          <w:highlight w:val="none"/>
        </w:rPr>
        <w:t>表示严格，在正常情况下均应这样做的</w:t>
      </w:r>
      <w:r>
        <w:rPr>
          <w:rFonts w:hint="eastAsia"/>
          <w:color w:val="auto"/>
          <w:highlight w:val="none"/>
        </w:rPr>
        <w:t>：</w:t>
      </w:r>
    </w:p>
    <w:p w14:paraId="66AD931E">
      <w:pPr>
        <w:pStyle w:val="29"/>
        <w:ind w:left="1134" w:firstLine="0" w:firstLineChars="0"/>
        <w:rPr>
          <w:color w:val="auto"/>
          <w:highlight w:val="none"/>
        </w:rPr>
      </w:pPr>
      <w:r>
        <w:rPr>
          <w:rFonts w:hint="eastAsia"/>
          <w:color w:val="auto"/>
          <w:highlight w:val="none"/>
        </w:rPr>
        <w:t>正面词采用“应”；反面词采用“不应”或“不得”；</w:t>
      </w:r>
    </w:p>
    <w:p w14:paraId="2BF1D611">
      <w:pPr>
        <w:pStyle w:val="29"/>
        <w:widowControl/>
        <w:numPr>
          <w:ilvl w:val="0"/>
          <w:numId w:val="95"/>
        </w:numPr>
        <w:ind w:left="1134" w:hanging="221" w:firstLineChars="0"/>
        <w:jc w:val="left"/>
        <w:rPr>
          <w:color w:val="auto"/>
          <w:highlight w:val="none"/>
        </w:rPr>
      </w:pPr>
      <w:r>
        <w:rPr>
          <w:color w:val="auto"/>
          <w:highlight w:val="none"/>
        </w:rPr>
        <w:t>表示允许稍有选择，在条件许可时首先应这样做的</w:t>
      </w:r>
      <w:r>
        <w:rPr>
          <w:rFonts w:hint="eastAsia"/>
          <w:color w:val="auto"/>
          <w:highlight w:val="none"/>
        </w:rPr>
        <w:t>：</w:t>
      </w:r>
    </w:p>
    <w:p w14:paraId="77AE20CA">
      <w:pPr>
        <w:pStyle w:val="29"/>
        <w:ind w:left="1134" w:firstLine="0" w:firstLineChars="0"/>
        <w:rPr>
          <w:color w:val="auto"/>
          <w:highlight w:val="none"/>
        </w:rPr>
      </w:pPr>
      <w:r>
        <w:rPr>
          <w:rFonts w:hint="eastAsia"/>
          <w:color w:val="auto"/>
          <w:highlight w:val="none"/>
        </w:rPr>
        <w:t>正面词采用“宜”；反面词采用“不宜”；</w:t>
      </w:r>
    </w:p>
    <w:p w14:paraId="6E2CE4AF">
      <w:pPr>
        <w:pStyle w:val="29"/>
        <w:widowControl/>
        <w:numPr>
          <w:ilvl w:val="0"/>
          <w:numId w:val="95"/>
        </w:numPr>
        <w:ind w:left="1134" w:right="240" w:firstLineChars="0"/>
        <w:jc w:val="left"/>
        <w:rPr>
          <w:color w:val="auto"/>
          <w:highlight w:val="none"/>
        </w:rPr>
      </w:pPr>
      <w:r>
        <w:rPr>
          <w:color w:val="auto"/>
          <w:highlight w:val="none"/>
        </w:rPr>
        <w:t>表示有选择，在一定条件下可以这样做的，采用“可”。</w:t>
      </w:r>
    </w:p>
    <w:p w14:paraId="4B4DFECA">
      <w:pPr>
        <w:ind w:firstLine="420"/>
        <w:rPr>
          <w:color w:val="auto"/>
          <w:highlight w:val="none"/>
        </w:rPr>
      </w:pPr>
      <w:r>
        <w:rPr>
          <w:color w:val="auto"/>
          <w:highlight w:val="none"/>
        </w:rPr>
        <w:t>2</w:t>
      </w:r>
      <w:r>
        <w:rPr>
          <w:rFonts w:hint="eastAsia"/>
          <w:color w:val="auto"/>
          <w:highlight w:val="none"/>
        </w:rPr>
        <w:t>　</w:t>
      </w:r>
      <w:r>
        <w:rPr>
          <w:color w:val="auto"/>
          <w:highlight w:val="none"/>
        </w:rPr>
        <w:t>条文中指明应按其他有关标准执行的写法为</w:t>
      </w:r>
      <w:r>
        <w:rPr>
          <w:rFonts w:hint="eastAsia"/>
          <w:color w:val="auto"/>
          <w:highlight w:val="none"/>
        </w:rPr>
        <w:t>“</w:t>
      </w:r>
      <w:r>
        <w:rPr>
          <w:color w:val="auto"/>
          <w:highlight w:val="none"/>
        </w:rPr>
        <w:t>应按......执行</w:t>
      </w:r>
      <w:r>
        <w:rPr>
          <w:rFonts w:hint="eastAsia"/>
          <w:color w:val="auto"/>
          <w:highlight w:val="none"/>
        </w:rPr>
        <w:t>”</w:t>
      </w:r>
      <w:r>
        <w:rPr>
          <w:color w:val="auto"/>
          <w:highlight w:val="none"/>
        </w:rPr>
        <w:t>或</w:t>
      </w:r>
      <w:r>
        <w:rPr>
          <w:rFonts w:hint="eastAsia"/>
          <w:color w:val="auto"/>
          <w:highlight w:val="none"/>
        </w:rPr>
        <w:t>“</w:t>
      </w:r>
      <w:r>
        <w:rPr>
          <w:color w:val="auto"/>
          <w:highlight w:val="none"/>
        </w:rPr>
        <w:t>应符合......的规定</w:t>
      </w:r>
      <w:r>
        <w:rPr>
          <w:rFonts w:hint="eastAsia"/>
          <w:color w:val="auto"/>
          <w:highlight w:val="none"/>
        </w:rPr>
        <w:t>”。</w:t>
      </w:r>
    </w:p>
    <w:p w14:paraId="0A3476E9">
      <w:pPr>
        <w:ind w:firstLineChars="0"/>
        <w:rPr>
          <w:color w:val="auto"/>
          <w:highlight w:val="none"/>
        </w:rPr>
      </w:pPr>
      <w:r>
        <w:rPr>
          <w:color w:val="auto"/>
          <w:highlight w:val="none"/>
        </w:rPr>
        <w:br w:type="page"/>
      </w:r>
    </w:p>
    <w:p w14:paraId="19C26EDC">
      <w:pPr>
        <w:pStyle w:val="2"/>
        <w:numPr>
          <w:ilvl w:val="0"/>
          <w:numId w:val="0"/>
        </w:numPr>
        <w:ind w:left="357"/>
        <w:rPr>
          <w:rFonts w:hint="eastAsia"/>
          <w:color w:val="auto"/>
          <w:highlight w:val="none"/>
        </w:rPr>
      </w:pPr>
      <w:bookmarkStart w:id="281" w:name="_Toc3636"/>
      <w:bookmarkStart w:id="282" w:name="_Toc15099"/>
      <w:bookmarkStart w:id="283" w:name="_Toc23664"/>
      <w:bookmarkStart w:id="284" w:name="_Toc3178"/>
      <w:bookmarkStart w:id="285" w:name="_Toc11261"/>
      <w:bookmarkStart w:id="286" w:name="_Toc3004"/>
      <w:bookmarkStart w:id="287" w:name="_Toc7834"/>
      <w:bookmarkStart w:id="288" w:name="_Toc9029"/>
      <w:bookmarkStart w:id="289" w:name="_Toc7686"/>
      <w:bookmarkStart w:id="290" w:name="_Ref20237244"/>
      <w:bookmarkStart w:id="291" w:name="_Toc19860"/>
      <w:r>
        <w:rPr>
          <w:color w:val="auto"/>
          <w:highlight w:val="none"/>
        </w:rPr>
        <w:t>引用标准名录</w:t>
      </w:r>
      <w:bookmarkEnd w:id="281"/>
      <w:bookmarkEnd w:id="282"/>
      <w:bookmarkEnd w:id="283"/>
      <w:bookmarkEnd w:id="284"/>
      <w:bookmarkEnd w:id="285"/>
      <w:bookmarkEnd w:id="286"/>
      <w:bookmarkEnd w:id="287"/>
      <w:bookmarkEnd w:id="288"/>
    </w:p>
    <w:p w14:paraId="5323B9D3">
      <w:pPr>
        <w:ind w:firstLine="420"/>
        <w:rPr>
          <w:color w:val="auto"/>
          <w:highlight w:val="none"/>
        </w:rPr>
      </w:pPr>
      <w:r>
        <w:rPr>
          <w:rFonts w:hint="eastAsia"/>
          <w:color w:val="auto"/>
          <w:highlight w:val="none"/>
        </w:rPr>
        <w:t>《建筑信息模型分类和编码标准》GB/T 51269</w:t>
      </w:r>
    </w:p>
    <w:p w14:paraId="1C9CAD92">
      <w:pPr>
        <w:ind w:firstLine="420"/>
        <w:rPr>
          <w:color w:val="auto"/>
          <w:highlight w:val="none"/>
        </w:rPr>
      </w:pPr>
      <w:r>
        <w:rPr>
          <w:rFonts w:hint="eastAsia"/>
          <w:color w:val="auto"/>
          <w:highlight w:val="none"/>
        </w:rPr>
        <w:t>《建筑信息模型应用</w:t>
      </w:r>
      <w:r>
        <w:rPr>
          <w:color w:val="auto"/>
          <w:highlight w:val="none"/>
        </w:rPr>
        <w:t>统一</w:t>
      </w:r>
      <w:r>
        <w:rPr>
          <w:rFonts w:hint="eastAsia"/>
          <w:color w:val="auto"/>
          <w:highlight w:val="none"/>
        </w:rPr>
        <w:t>标准》</w:t>
      </w:r>
      <w:r>
        <w:rPr>
          <w:color w:val="auto"/>
          <w:highlight w:val="none"/>
        </w:rPr>
        <w:t>DBJ04/T 380</w:t>
      </w:r>
    </w:p>
    <w:p w14:paraId="41BB6C51">
      <w:pPr>
        <w:ind w:firstLine="420"/>
        <w:rPr>
          <w:color w:val="auto"/>
          <w:highlight w:val="none"/>
        </w:rPr>
      </w:pPr>
      <w:r>
        <w:rPr>
          <w:rFonts w:hint="eastAsia"/>
          <w:color w:val="auto"/>
          <w:highlight w:val="none"/>
        </w:rPr>
        <w:t>《城市轨道交通建筑信息模型建模标准》DBJ04/T</w:t>
      </w:r>
      <w:r>
        <w:rPr>
          <w:color w:val="auto"/>
          <w:highlight w:val="none"/>
        </w:rPr>
        <w:t xml:space="preserve"> </w:t>
      </w:r>
      <w:r>
        <w:rPr>
          <w:rFonts w:hint="eastAsia"/>
          <w:color w:val="auto"/>
          <w:highlight w:val="none"/>
        </w:rPr>
        <w:t>412</w:t>
      </w:r>
    </w:p>
    <w:p w14:paraId="4E3734B2">
      <w:pPr>
        <w:ind w:firstLine="420"/>
        <w:rPr>
          <w:color w:val="auto"/>
          <w:highlight w:val="none"/>
        </w:rPr>
      </w:pPr>
      <w:r>
        <w:rPr>
          <w:rFonts w:hint="eastAsia"/>
          <w:color w:val="auto"/>
          <w:highlight w:val="none"/>
        </w:rPr>
        <w:t>《建筑信息模型设计标准》DBJ04/T 421</w:t>
      </w:r>
    </w:p>
    <w:p w14:paraId="36ED5F44">
      <w:pPr>
        <w:ind w:firstLine="420"/>
        <w:rPr>
          <w:color w:val="auto"/>
          <w:highlight w:val="none"/>
        </w:rPr>
      </w:pPr>
      <w:r>
        <w:rPr>
          <w:rFonts w:hint="eastAsia"/>
          <w:color w:val="auto"/>
          <w:highlight w:val="none"/>
        </w:rPr>
        <w:t>《建筑信息模型应用统一标准》</w:t>
      </w:r>
      <w:r>
        <w:rPr>
          <w:color w:val="auto"/>
          <w:highlight w:val="none"/>
        </w:rPr>
        <w:t>GB</w:t>
      </w:r>
      <w:r>
        <w:rPr>
          <w:rFonts w:hint="eastAsia"/>
          <w:color w:val="auto"/>
          <w:highlight w:val="none"/>
        </w:rPr>
        <w:t>/</w:t>
      </w:r>
      <w:r>
        <w:rPr>
          <w:color w:val="auto"/>
          <w:highlight w:val="none"/>
        </w:rPr>
        <w:t>T</w:t>
      </w:r>
      <w:r>
        <w:rPr>
          <w:rFonts w:hint="eastAsia"/>
          <w:color w:val="auto"/>
          <w:highlight w:val="none"/>
        </w:rPr>
        <w:t xml:space="preserve"> </w:t>
      </w:r>
      <w:r>
        <w:rPr>
          <w:color w:val="auto"/>
          <w:highlight w:val="none"/>
        </w:rPr>
        <w:t>51212</w:t>
      </w:r>
    </w:p>
    <w:p w14:paraId="53408E9C">
      <w:pPr>
        <w:ind w:firstLine="420"/>
        <w:rPr>
          <w:color w:val="auto"/>
          <w:highlight w:val="none"/>
        </w:rPr>
      </w:pPr>
      <w:r>
        <w:rPr>
          <w:rFonts w:hint="eastAsia" w:asciiTheme="minorHAnsi" w:hAnsiTheme="minorHAnsi" w:eastAsiaTheme="minorEastAsia"/>
          <w:bCs w:val="0"/>
          <w:color w:val="auto"/>
          <w:szCs w:val="22"/>
          <w:highlight w:val="none"/>
        </w:rPr>
        <w:t>《建筑信息模型</w:t>
      </w:r>
      <w:r>
        <w:rPr>
          <w:rFonts w:hint="eastAsia" w:asciiTheme="minorHAnsi" w:hAnsiTheme="minorHAnsi" w:eastAsiaTheme="minorEastAsia"/>
          <w:bCs w:val="0"/>
          <w:color w:val="auto"/>
          <w:szCs w:val="22"/>
          <w:highlight w:val="none"/>
          <w:lang w:val="en-US" w:eastAsia="zh-CN"/>
        </w:rPr>
        <w:t>存储标准</w:t>
      </w:r>
      <w:r>
        <w:rPr>
          <w:rFonts w:hint="eastAsia" w:asciiTheme="minorHAnsi" w:hAnsiTheme="minorHAnsi" w:eastAsiaTheme="minorEastAsia"/>
          <w:bCs w:val="0"/>
          <w:color w:val="auto"/>
          <w:szCs w:val="22"/>
          <w:highlight w:val="none"/>
        </w:rPr>
        <w:t>》GB</w:t>
      </w:r>
      <w:r>
        <w:rPr>
          <w:rFonts w:hint="eastAsia"/>
          <w:color w:val="auto"/>
          <w:highlight w:val="none"/>
        </w:rPr>
        <w:t>/</w:t>
      </w:r>
      <w:r>
        <w:rPr>
          <w:rFonts w:hint="eastAsia" w:asciiTheme="minorHAnsi" w:hAnsiTheme="minorHAnsi" w:eastAsiaTheme="minorEastAsia"/>
          <w:bCs w:val="0"/>
          <w:color w:val="auto"/>
          <w:szCs w:val="22"/>
          <w:highlight w:val="none"/>
        </w:rPr>
        <w:t>T</w:t>
      </w:r>
      <w:r>
        <w:rPr>
          <w:rFonts w:hint="eastAsia"/>
          <w:color w:val="auto"/>
          <w:highlight w:val="none"/>
        </w:rPr>
        <w:t xml:space="preserve"> </w:t>
      </w:r>
      <w:r>
        <w:rPr>
          <w:rFonts w:hint="eastAsia" w:asciiTheme="minorHAnsi" w:hAnsiTheme="minorHAnsi" w:eastAsiaTheme="minorEastAsia"/>
          <w:bCs w:val="0"/>
          <w:color w:val="auto"/>
          <w:szCs w:val="22"/>
          <w:highlight w:val="none"/>
        </w:rPr>
        <w:t>51</w:t>
      </w:r>
      <w:r>
        <w:rPr>
          <w:rFonts w:hint="eastAsia" w:asciiTheme="minorHAnsi" w:hAnsiTheme="minorHAnsi" w:eastAsiaTheme="minorEastAsia"/>
          <w:bCs w:val="0"/>
          <w:color w:val="auto"/>
          <w:szCs w:val="22"/>
          <w:highlight w:val="none"/>
          <w:lang w:eastAsia="zh-CN"/>
        </w:rPr>
        <w:t>4</w:t>
      </w:r>
      <w:r>
        <w:rPr>
          <w:rFonts w:hint="eastAsia" w:asciiTheme="minorHAnsi" w:hAnsiTheme="minorHAnsi" w:eastAsiaTheme="minorEastAsia"/>
          <w:bCs w:val="0"/>
          <w:color w:val="auto"/>
          <w:szCs w:val="22"/>
          <w:highlight w:val="none"/>
          <w:lang w:val="en-US" w:eastAsia="zh-CN"/>
        </w:rPr>
        <w:t>47</w:t>
      </w:r>
    </w:p>
    <w:bookmarkEnd w:id="289"/>
    <w:bookmarkEnd w:id="290"/>
    <w:bookmarkEnd w:id="291"/>
    <w:p w14:paraId="5EE6F160">
      <w:pPr>
        <w:pStyle w:val="21"/>
        <w:ind w:firstLine="0" w:firstLineChars="0"/>
        <w:jc w:val="both"/>
        <w:rPr>
          <w:color w:val="auto"/>
          <w:highlight w:val="none"/>
        </w:rPr>
        <w:sectPr>
          <w:headerReference r:id="rId10" w:type="default"/>
          <w:footerReference r:id="rId11" w:type="default"/>
          <w:footerReference r:id="rId12" w:type="even"/>
          <w:pgSz w:w="11906" w:h="16838"/>
          <w:pgMar w:top="1418" w:right="1418" w:bottom="1361" w:left="1134" w:header="851" w:footer="992" w:gutter="0"/>
          <w:pgNumType w:start="1"/>
          <w:cols w:space="720" w:num="1"/>
          <w:docGrid w:type="lines" w:linePitch="312" w:charSpace="0"/>
        </w:sectPr>
      </w:pPr>
    </w:p>
    <w:p w14:paraId="4A211677">
      <w:pPr>
        <w:pStyle w:val="21"/>
        <w:jc w:val="center"/>
        <w:rPr>
          <w:color w:val="auto"/>
          <w:highlight w:val="none"/>
        </w:rPr>
      </w:pPr>
    </w:p>
    <w:p w14:paraId="7267A7AC">
      <w:pPr>
        <w:widowControl/>
        <w:spacing w:before="624" w:beforeLines="200" w:line="240" w:lineRule="auto"/>
        <w:ind w:firstLine="0" w:firstLineChars="0"/>
        <w:jc w:val="center"/>
        <w:rPr>
          <w:rFonts w:eastAsia="黑体" w:cs="宋体"/>
          <w:color w:val="auto"/>
          <w:kern w:val="0"/>
          <w:sz w:val="32"/>
          <w:highlight w:val="none"/>
        </w:rPr>
      </w:pPr>
      <w:r>
        <w:rPr>
          <w:rFonts w:hint="eastAsia" w:eastAsia="黑体" w:cs="宋体"/>
          <w:color w:val="auto"/>
          <w:kern w:val="0"/>
          <w:sz w:val="32"/>
          <w:highlight w:val="none"/>
        </w:rPr>
        <w:t>山西省工程建设地方标准</w:t>
      </w:r>
    </w:p>
    <w:p w14:paraId="0D986687">
      <w:pPr>
        <w:widowControl/>
        <w:spacing w:line="240" w:lineRule="auto"/>
        <w:ind w:firstLine="0" w:firstLineChars="0"/>
        <w:jc w:val="center"/>
        <w:rPr>
          <w:rFonts w:cs="宋体"/>
          <w:b/>
          <w:color w:val="auto"/>
          <w:kern w:val="0"/>
          <w:sz w:val="48"/>
          <w:highlight w:val="none"/>
        </w:rPr>
      </w:pPr>
    </w:p>
    <w:p w14:paraId="2AA1F208">
      <w:pPr>
        <w:widowControl/>
        <w:spacing w:line="240" w:lineRule="auto"/>
        <w:ind w:firstLine="0" w:firstLineChars="0"/>
        <w:jc w:val="center"/>
        <w:rPr>
          <w:rFonts w:cs="宋体"/>
          <w:b/>
          <w:color w:val="auto"/>
          <w:kern w:val="0"/>
          <w:sz w:val="48"/>
          <w:highlight w:val="none"/>
        </w:rPr>
      </w:pPr>
    </w:p>
    <w:p w14:paraId="21CEDE19">
      <w:pPr>
        <w:widowControl/>
        <w:spacing w:line="240" w:lineRule="auto"/>
        <w:ind w:firstLine="0" w:firstLineChars="0"/>
        <w:jc w:val="center"/>
        <w:rPr>
          <w:rFonts w:eastAsia="黑体" w:cs="宋体"/>
          <w:color w:val="auto"/>
          <w:kern w:val="0"/>
          <w:sz w:val="48"/>
          <w:highlight w:val="none"/>
        </w:rPr>
      </w:pPr>
      <w:r>
        <w:rPr>
          <w:rFonts w:hint="eastAsia" w:eastAsia="黑体" w:cs="宋体"/>
          <w:color w:val="auto"/>
          <w:kern w:val="0"/>
          <w:sz w:val="48"/>
          <w:highlight w:val="none"/>
        </w:rPr>
        <w:t>市政地下空间建筑信息模型</w:t>
      </w:r>
    </w:p>
    <w:p w14:paraId="182B199C">
      <w:pPr>
        <w:widowControl/>
        <w:spacing w:line="240" w:lineRule="auto"/>
        <w:ind w:firstLine="0" w:firstLineChars="0"/>
        <w:jc w:val="center"/>
        <w:rPr>
          <w:rFonts w:eastAsia="黑体" w:cs="宋体"/>
          <w:color w:val="auto"/>
          <w:kern w:val="0"/>
          <w:sz w:val="48"/>
          <w:highlight w:val="none"/>
        </w:rPr>
      </w:pPr>
      <w:r>
        <w:rPr>
          <w:rFonts w:hint="eastAsia" w:eastAsia="黑体" w:cs="宋体"/>
          <w:color w:val="auto"/>
          <w:kern w:val="0"/>
          <w:sz w:val="48"/>
          <w:highlight w:val="none"/>
        </w:rPr>
        <w:t>应用标准</w:t>
      </w:r>
    </w:p>
    <w:p w14:paraId="488235CF">
      <w:pPr>
        <w:widowControl/>
        <w:spacing w:line="240" w:lineRule="auto"/>
        <w:ind w:firstLine="0" w:firstLineChars="0"/>
        <w:jc w:val="center"/>
        <w:rPr>
          <w:rFonts w:eastAsia="黑体" w:cs="宋体"/>
          <w:color w:val="auto"/>
          <w:kern w:val="0"/>
          <w:sz w:val="48"/>
          <w:highlight w:val="none"/>
        </w:rPr>
      </w:pPr>
    </w:p>
    <w:p w14:paraId="4657329F">
      <w:pPr>
        <w:widowControl/>
        <w:spacing w:line="240" w:lineRule="auto"/>
        <w:ind w:firstLine="0" w:firstLineChars="0"/>
        <w:jc w:val="center"/>
        <w:rPr>
          <w:rFonts w:eastAsia="黑体" w:cs="宋体"/>
          <w:color w:val="auto"/>
          <w:kern w:val="0"/>
          <w:sz w:val="48"/>
          <w:highlight w:val="none"/>
        </w:rPr>
      </w:pPr>
    </w:p>
    <w:p w14:paraId="2A63A859">
      <w:pPr>
        <w:pStyle w:val="2"/>
        <w:pageBreakBefore w:val="0"/>
        <w:numPr>
          <w:ilvl w:val="0"/>
          <w:numId w:val="0"/>
        </w:numPr>
        <w:ind w:left="357"/>
        <w:rPr>
          <w:rFonts w:hint="eastAsia"/>
          <w:color w:val="auto"/>
          <w:highlight w:val="none"/>
        </w:rPr>
        <w:sectPr>
          <w:pgSz w:w="11906" w:h="16838"/>
          <w:pgMar w:top="1418" w:right="1418" w:bottom="1361" w:left="1134" w:header="851" w:footer="992" w:gutter="0"/>
          <w:cols w:space="720" w:num="1"/>
          <w:docGrid w:type="lines" w:linePitch="312" w:charSpace="0"/>
        </w:sectPr>
      </w:pPr>
      <w:bookmarkStart w:id="292" w:name="_Toc25681"/>
      <w:bookmarkStart w:id="293" w:name="_Toc18564"/>
      <w:bookmarkStart w:id="294" w:name="_Toc3719"/>
      <w:bookmarkStart w:id="295" w:name="_Toc13416"/>
      <w:bookmarkStart w:id="296" w:name="_Toc17171"/>
      <w:bookmarkStart w:id="297" w:name="_Toc31643"/>
      <w:bookmarkStart w:id="298" w:name="_Toc4897"/>
      <w:bookmarkStart w:id="299" w:name="_Toc22997"/>
      <w:bookmarkStart w:id="300" w:name="_Toc694"/>
      <w:bookmarkStart w:id="301" w:name="_Toc25242"/>
      <w:bookmarkStart w:id="302" w:name="_Toc6675"/>
      <w:bookmarkStart w:id="303" w:name="_Toc5258"/>
      <w:bookmarkStart w:id="304" w:name="_Toc26668"/>
      <w:r>
        <w:rPr>
          <w:rFonts w:hint="eastAsia"/>
          <w:color w:val="auto"/>
          <w:highlight w:val="none"/>
        </w:rPr>
        <w:t>条文说明</w:t>
      </w:r>
      <w:bookmarkEnd w:id="292"/>
      <w:bookmarkEnd w:id="293"/>
      <w:bookmarkEnd w:id="294"/>
      <w:bookmarkEnd w:id="295"/>
      <w:bookmarkEnd w:id="296"/>
      <w:bookmarkEnd w:id="297"/>
      <w:bookmarkEnd w:id="298"/>
      <w:bookmarkEnd w:id="299"/>
      <w:bookmarkEnd w:id="300"/>
    </w:p>
    <w:bookmarkEnd w:id="301"/>
    <w:bookmarkEnd w:id="302"/>
    <w:bookmarkEnd w:id="303"/>
    <w:p w14:paraId="5090AB9C">
      <w:pPr>
        <w:pStyle w:val="21"/>
        <w:spacing w:before="936" w:beforeLines="300" w:after="624" w:afterLines="200"/>
        <w:ind w:firstLine="640"/>
        <w:jc w:val="center"/>
        <w:rPr>
          <w:rFonts w:eastAsia="黑体"/>
          <w:color w:val="auto"/>
          <w:sz w:val="32"/>
          <w:szCs w:val="32"/>
          <w:highlight w:val="none"/>
        </w:rPr>
      </w:pPr>
      <w:r>
        <w:rPr>
          <w:rFonts w:eastAsia="黑体"/>
          <w:color w:val="auto"/>
          <w:sz w:val="32"/>
          <w:szCs w:val="32"/>
          <w:highlight w:val="none"/>
        </w:rPr>
        <w:t>制</w:t>
      </w:r>
      <w:r>
        <w:rPr>
          <w:rFonts w:hint="eastAsia" w:eastAsia="黑体"/>
          <w:color w:val="auto"/>
          <w:sz w:val="32"/>
          <w:szCs w:val="32"/>
          <w:highlight w:val="none"/>
        </w:rPr>
        <w:t>订</w:t>
      </w:r>
      <w:r>
        <w:rPr>
          <w:rFonts w:eastAsia="黑体"/>
          <w:color w:val="auto"/>
          <w:sz w:val="32"/>
          <w:szCs w:val="32"/>
          <w:highlight w:val="none"/>
        </w:rPr>
        <w:t>说明</w:t>
      </w:r>
    </w:p>
    <w:p w14:paraId="59145E15">
      <w:pPr>
        <w:ind w:firstLine="420"/>
        <w:rPr>
          <w:color w:val="auto"/>
          <w:highlight w:val="none"/>
        </w:rPr>
      </w:pPr>
      <w:r>
        <w:rPr>
          <w:rFonts w:hint="eastAsia"/>
          <w:color w:val="auto"/>
          <w:highlight w:val="none"/>
        </w:rPr>
        <w:t>本标准制定过程中，编制组进行了广泛的调查研究，总结了工程建设项目建设的实践经验，同时参考了国内外先进技术法规、技术标准。</w:t>
      </w:r>
    </w:p>
    <w:p w14:paraId="7D6A205F">
      <w:pPr>
        <w:ind w:firstLine="420"/>
        <w:rPr>
          <w:rFonts w:eastAsia="黑体"/>
          <w:color w:val="auto"/>
          <w:sz w:val="32"/>
          <w:szCs w:val="32"/>
          <w:highlight w:val="none"/>
        </w:rPr>
      </w:pPr>
      <w:r>
        <w:rPr>
          <w:rFonts w:hint="eastAsia"/>
          <w:color w:val="auto"/>
          <w:highlight w:val="none"/>
        </w:rPr>
        <w:t>为便于广大建设、设计、施工、工程监理、工程造价、物业管理、构配件生产、软件、科研、院校等单位有关人员在使用本标准时能正确理解和执行条文规定，《市政地下空间建筑信息模型应用标准》编制组按章、节、条顺序编制了本标准的条文说明，对条文规定的目的、依据以及执行过程中需注意的有关事项进行了说明。但是，本条文说明不具备与标准正文同等的法律效力，仅供使用者作为理解和把握标准规定的参考。</w:t>
      </w:r>
    </w:p>
    <w:p w14:paraId="6B68C70F">
      <w:pPr>
        <w:pStyle w:val="21"/>
        <w:ind w:firstLine="640"/>
        <w:jc w:val="center"/>
        <w:rPr>
          <w:rFonts w:eastAsia="黑体"/>
          <w:color w:val="auto"/>
          <w:sz w:val="32"/>
          <w:szCs w:val="32"/>
          <w:highlight w:val="none"/>
        </w:rPr>
      </w:pPr>
    </w:p>
    <w:sdt>
      <w:sdtPr>
        <w:rPr>
          <w:rFonts w:ascii="宋体" w:hAnsi="宋体" w:eastAsiaTheme="minorEastAsia" w:cstheme="minorBidi"/>
          <w:b w:val="0"/>
          <w:color w:val="auto"/>
          <w:kern w:val="2"/>
          <w:sz w:val="24"/>
          <w:szCs w:val="22"/>
          <w:highlight w:val="none"/>
          <w:lang w:val="en-US"/>
        </w:rPr>
        <w:id w:val="-1"/>
      </w:sdtPr>
      <w:sdtEndPr>
        <w:rPr>
          <w:rFonts w:ascii="宋体" w:hAnsi="宋体" w:eastAsiaTheme="minorEastAsia" w:cstheme="minorBidi"/>
          <w:b w:val="0"/>
          <w:color w:val="auto"/>
          <w:kern w:val="2"/>
          <w:sz w:val="24"/>
          <w:szCs w:val="22"/>
          <w:highlight w:val="none"/>
          <w:lang w:val="en-US"/>
        </w:rPr>
      </w:sdtEndPr>
      <w:sdtContent>
        <w:p w14:paraId="2DA96FAE">
          <w:pPr>
            <w:pStyle w:val="20"/>
            <w:keepNext w:val="0"/>
            <w:keepLines w:val="0"/>
            <w:pageBreakBefore w:val="0"/>
            <w:widowControl w:val="0"/>
            <w:ind w:left="480"/>
            <w:jc w:val="center"/>
            <w:rPr>
              <w:rFonts w:hint="eastAsia" w:ascii="宋体" w:hAnsi="宋体"/>
              <w:color w:val="auto"/>
              <w:sz w:val="24"/>
              <w:highlight w:val="none"/>
            </w:rPr>
          </w:pPr>
          <w:r>
            <w:rPr>
              <w:rFonts w:ascii="宋体" w:hAnsi="宋体" w:eastAsiaTheme="minorEastAsia" w:cstheme="minorBidi"/>
              <w:b w:val="0"/>
              <w:color w:val="auto"/>
              <w:kern w:val="2"/>
              <w:sz w:val="24"/>
              <w:szCs w:val="22"/>
              <w:highlight w:val="none"/>
              <w:lang w:val="en-US"/>
            </w:rPr>
            <w:br w:type="page"/>
          </w:r>
        </w:p>
        <w:p w14:paraId="582E28F9">
          <w:pPr>
            <w:pStyle w:val="20"/>
            <w:ind w:left="480"/>
            <w:jc w:val="center"/>
            <w:rPr>
              <w:rFonts w:hint="eastAsia" w:ascii="宋体" w:hAnsi="宋体" w:eastAsia="宋体"/>
              <w:color w:val="auto"/>
              <w:highlight w:val="none"/>
              <w:lang w:val="zh-CN"/>
            </w:rPr>
          </w:pPr>
          <w:r>
            <w:rPr>
              <w:rFonts w:ascii="黑体" w:hAnsi="黑体" w:eastAsia="黑体"/>
              <w:b w:val="0"/>
              <w:color w:val="auto"/>
              <w:highlight w:val="none"/>
            </w:rPr>
            <w:t>目</w:t>
          </w:r>
          <w:r>
            <w:rPr>
              <w:rFonts w:hint="eastAsia" w:ascii="黑体" w:hAnsi="黑体" w:eastAsia="黑体"/>
              <w:b w:val="0"/>
              <w:color w:val="auto"/>
              <w:highlight w:val="none"/>
            </w:rPr>
            <w:t>　</w:t>
          </w:r>
          <w:r>
            <w:rPr>
              <w:rFonts w:ascii="黑体" w:hAnsi="黑体" w:eastAsia="黑体"/>
              <w:b w:val="0"/>
              <w:color w:val="auto"/>
              <w:highlight w:val="none"/>
            </w:rPr>
            <w:t>　</w:t>
          </w:r>
          <w:r>
            <w:rPr>
              <w:rFonts w:hint="eastAsia" w:ascii="黑体" w:hAnsi="黑体" w:eastAsia="黑体"/>
              <w:b w:val="0"/>
              <w:color w:val="auto"/>
              <w:highlight w:val="none"/>
            </w:rPr>
            <w:t>次</w:t>
          </w:r>
        </w:p>
        <w:p w14:paraId="7DE6AC39">
          <w:pPr>
            <w:pStyle w:val="10"/>
            <w:tabs>
              <w:tab w:val="right" w:leader="dot" w:pos="9354"/>
              <w:tab w:val="clear" w:pos="1260"/>
              <w:tab w:val="clear" w:pos="8296"/>
            </w:tabs>
            <w:ind w:firstLine="292"/>
            <w:rPr>
              <w:rFonts w:hint="eastAsia"/>
              <w:color w:val="auto"/>
              <w:highlight w:val="none"/>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"1-2" \h \z \u </w:instrText>
          </w:r>
          <w:r>
            <w:rPr>
              <w:rFonts w:asciiTheme="minorEastAsia" w:hAnsiTheme="minorEastAsia" w:eastAsiaTheme="minorEastAsia"/>
              <w:color w:val="auto"/>
              <w:sz w:val="21"/>
              <w:szCs w:val="21"/>
              <w:highlight w:val="none"/>
            </w:rPr>
            <w:fldChar w:fldCharType="separate"/>
          </w:r>
          <w:r>
            <w:rPr>
              <w:color w:val="auto"/>
              <w:highlight w:val="none"/>
            </w:rPr>
            <w:fldChar w:fldCharType="begin"/>
          </w:r>
          <w:r>
            <w:rPr>
              <w:color w:val="auto"/>
              <w:highlight w:val="none"/>
            </w:rPr>
            <w:instrText xml:space="preserve"> HYPERLINK \l "_Toc2226" </w:instrText>
          </w:r>
          <w:r>
            <w:rPr>
              <w:color w:val="auto"/>
              <w:highlight w:val="none"/>
            </w:rPr>
            <w:fldChar w:fldCharType="separate"/>
          </w:r>
          <w:r>
            <w:rPr>
              <w:rFonts w:hint="eastAsia" w:ascii="黑体" w:hAnsi="黑体" w:eastAsia="黑体"/>
              <w:color w:val="auto"/>
              <w:highlight w:val="none"/>
            </w:rPr>
            <w:t xml:space="preserve">1 </w:t>
          </w:r>
          <w:r>
            <w:rPr>
              <w:rFonts w:hint="eastAsia"/>
              <w:color w:val="auto"/>
              <w:highlight w:val="none"/>
            </w:rPr>
            <w:t>总　则</w:t>
          </w:r>
          <w:r>
            <w:rPr>
              <w:color w:val="auto"/>
              <w:highlight w:val="none"/>
            </w:rPr>
            <w:tab/>
          </w:r>
          <w:r>
            <w:rPr>
              <w:color w:val="auto"/>
              <w:highlight w:val="none"/>
            </w:rPr>
            <w:fldChar w:fldCharType="end"/>
          </w:r>
          <w:r>
            <w:rPr>
              <w:rFonts w:hint="eastAsia" w:asciiTheme="minorEastAsia" w:hAnsiTheme="minorEastAsia"/>
              <w:color w:val="auto"/>
              <w:szCs w:val="21"/>
              <w:highlight w:val="none"/>
            </w:rPr>
            <w:t>41</w:t>
          </w:r>
        </w:p>
        <w:p w14:paraId="156A09C2">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"_Toc31744" </w:instrText>
          </w:r>
          <w:r>
            <w:rPr>
              <w:color w:val="auto"/>
              <w:highlight w:val="none"/>
            </w:rPr>
            <w:fldChar w:fldCharType="separate"/>
          </w:r>
          <w:r>
            <w:rPr>
              <w:rFonts w:hint="eastAsia" w:ascii="黑体" w:hAnsi="黑体" w:eastAsia="黑体"/>
              <w:color w:val="auto"/>
              <w:highlight w:val="none"/>
            </w:rPr>
            <w:t xml:space="preserve">3 </w:t>
          </w:r>
          <w:r>
            <w:rPr>
              <w:rFonts w:hint="eastAsia"/>
              <w:color w:val="auto"/>
              <w:highlight w:val="none"/>
            </w:rPr>
            <w:t>基本</w:t>
          </w:r>
          <w:r>
            <w:rPr>
              <w:color w:val="auto"/>
              <w:highlight w:val="none"/>
            </w:rPr>
            <w:t>规定</w:t>
          </w:r>
          <w:r>
            <w:rPr>
              <w:color w:val="auto"/>
              <w:highlight w:val="none"/>
            </w:rPr>
            <w:tab/>
          </w:r>
          <w:r>
            <w:rPr>
              <w:color w:val="auto"/>
              <w:highlight w:val="none"/>
            </w:rPr>
            <w:fldChar w:fldCharType="end"/>
          </w:r>
          <w:r>
            <w:rPr>
              <w:rFonts w:hint="eastAsia"/>
              <w:color w:val="auto"/>
              <w:highlight w:val="none"/>
            </w:rPr>
            <w:t>42</w:t>
          </w:r>
        </w:p>
        <w:p w14:paraId="2005257B">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"_Toc27758" </w:instrText>
          </w:r>
          <w:r>
            <w:rPr>
              <w:color w:val="auto"/>
              <w:highlight w:val="none"/>
            </w:rPr>
            <w:fldChar w:fldCharType="separate"/>
          </w:r>
          <w:r>
            <w:rPr>
              <w:rFonts w:hint="eastAsia" w:ascii="黑体" w:hAnsi="黑体" w:eastAsia="黑体"/>
              <w:color w:val="auto"/>
              <w:kern w:val="0"/>
              <w:highlight w:val="none"/>
            </w:rPr>
            <w:t xml:space="preserve">3.1 </w:t>
          </w:r>
          <w:r>
            <w:rPr>
              <w:rFonts w:hint="eastAsia"/>
              <w:color w:val="auto"/>
              <w:highlight w:val="none"/>
            </w:rPr>
            <w:t>一般规定</w:t>
          </w:r>
          <w:r>
            <w:rPr>
              <w:color w:val="auto"/>
              <w:highlight w:val="none"/>
            </w:rPr>
            <w:tab/>
          </w:r>
          <w:r>
            <w:rPr>
              <w:color w:val="auto"/>
              <w:highlight w:val="none"/>
            </w:rPr>
            <w:fldChar w:fldCharType="end"/>
          </w:r>
          <w:r>
            <w:rPr>
              <w:rFonts w:hint="eastAsia"/>
              <w:color w:val="auto"/>
              <w:highlight w:val="none"/>
            </w:rPr>
            <w:t>42</w:t>
          </w:r>
        </w:p>
        <w:p w14:paraId="007B968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"_Toc3928" </w:instrText>
          </w:r>
          <w:r>
            <w:rPr>
              <w:color w:val="auto"/>
              <w:highlight w:val="none"/>
            </w:rPr>
            <w:fldChar w:fldCharType="separate"/>
          </w:r>
          <w:r>
            <w:rPr>
              <w:rFonts w:hint="eastAsia" w:ascii="黑体" w:hAnsi="黑体" w:eastAsia="黑体"/>
              <w:color w:val="auto"/>
              <w:kern w:val="0"/>
              <w:highlight w:val="none"/>
            </w:rPr>
            <w:t xml:space="preserve">3.2 </w:t>
          </w:r>
          <w:r>
            <w:rPr>
              <w:rFonts w:hint="eastAsia"/>
              <w:color w:val="auto"/>
              <w:highlight w:val="none"/>
            </w:rPr>
            <w:t>协同要求</w:t>
          </w:r>
          <w:r>
            <w:rPr>
              <w:color w:val="auto"/>
              <w:highlight w:val="none"/>
            </w:rPr>
            <w:tab/>
          </w:r>
          <w:r>
            <w:rPr>
              <w:color w:val="auto"/>
              <w:highlight w:val="none"/>
            </w:rPr>
            <w:fldChar w:fldCharType="end"/>
          </w:r>
          <w:r>
            <w:rPr>
              <w:rFonts w:hint="eastAsia"/>
              <w:color w:val="auto"/>
              <w:highlight w:val="none"/>
            </w:rPr>
            <w:t>44</w:t>
          </w:r>
        </w:p>
        <w:p w14:paraId="204AB7C0">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"_Toc31331" </w:instrText>
          </w:r>
          <w:r>
            <w:rPr>
              <w:color w:val="auto"/>
              <w:highlight w:val="none"/>
            </w:rPr>
            <w:fldChar w:fldCharType="separate"/>
          </w:r>
          <w:r>
            <w:rPr>
              <w:rFonts w:hint="eastAsia" w:ascii="黑体" w:hAnsi="黑体" w:eastAsia="黑体"/>
              <w:color w:val="auto"/>
              <w:highlight w:val="none"/>
            </w:rPr>
            <w:t xml:space="preserve">4 </w:t>
          </w:r>
          <w:r>
            <w:rPr>
              <w:rFonts w:hint="eastAsia"/>
              <w:color w:val="auto"/>
              <w:highlight w:val="none"/>
            </w:rPr>
            <w:t>可行性研究阶段</w:t>
          </w:r>
          <w:r>
            <w:rPr>
              <w:color w:val="auto"/>
              <w:highlight w:val="none"/>
            </w:rPr>
            <w:tab/>
          </w:r>
          <w:r>
            <w:rPr>
              <w:color w:val="auto"/>
              <w:highlight w:val="none"/>
            </w:rPr>
            <w:fldChar w:fldCharType="end"/>
          </w:r>
          <w:r>
            <w:rPr>
              <w:rFonts w:hint="eastAsia"/>
              <w:color w:val="auto"/>
              <w:highlight w:val="none"/>
            </w:rPr>
            <w:t>46</w:t>
          </w:r>
        </w:p>
        <w:p w14:paraId="6D77FA25">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"_Toc16553" </w:instrText>
          </w:r>
          <w:r>
            <w:rPr>
              <w:color w:val="auto"/>
              <w:highlight w:val="none"/>
            </w:rPr>
            <w:fldChar w:fldCharType="separate"/>
          </w:r>
          <w:r>
            <w:rPr>
              <w:rFonts w:hint="eastAsia" w:ascii="黑体" w:hAnsi="黑体" w:eastAsia="黑体"/>
              <w:color w:val="auto"/>
              <w:kern w:val="0"/>
              <w:highlight w:val="none"/>
            </w:rPr>
            <w:t xml:space="preserve">4.2 </w:t>
          </w:r>
          <w:r>
            <w:rPr>
              <w:rFonts w:hint="eastAsia"/>
              <w:color w:val="auto"/>
              <w:highlight w:val="none"/>
            </w:rPr>
            <w:t>规划控制管理</w:t>
          </w:r>
          <w:r>
            <w:rPr>
              <w:color w:val="auto"/>
              <w:highlight w:val="none"/>
            </w:rPr>
            <w:tab/>
          </w:r>
          <w:r>
            <w:rPr>
              <w:color w:val="auto"/>
              <w:highlight w:val="none"/>
            </w:rPr>
            <w:fldChar w:fldCharType="end"/>
          </w:r>
          <w:r>
            <w:rPr>
              <w:rFonts w:hint="eastAsia"/>
              <w:color w:val="auto"/>
              <w:highlight w:val="none"/>
            </w:rPr>
            <w:t>46</w:t>
          </w:r>
        </w:p>
        <w:p w14:paraId="2EC44807">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"_Toc20183" </w:instrText>
          </w:r>
          <w:r>
            <w:rPr>
              <w:color w:val="auto"/>
              <w:highlight w:val="none"/>
            </w:rPr>
            <w:fldChar w:fldCharType="separate"/>
          </w:r>
          <w:r>
            <w:rPr>
              <w:rFonts w:hint="eastAsia" w:ascii="黑体" w:hAnsi="黑体" w:eastAsia="黑体"/>
              <w:color w:val="auto"/>
              <w:kern w:val="0"/>
              <w:highlight w:val="none"/>
            </w:rPr>
            <w:t xml:space="preserve">4.3 </w:t>
          </w:r>
          <w:r>
            <w:rPr>
              <w:rFonts w:hint="eastAsia"/>
              <w:color w:val="auto"/>
              <w:highlight w:val="none"/>
            </w:rPr>
            <w:t>周边环境分析</w:t>
          </w:r>
          <w:r>
            <w:rPr>
              <w:color w:val="auto"/>
              <w:highlight w:val="none"/>
            </w:rPr>
            <w:tab/>
          </w:r>
          <w:r>
            <w:rPr>
              <w:color w:val="auto"/>
              <w:highlight w:val="none"/>
            </w:rPr>
            <w:fldChar w:fldCharType="end"/>
          </w:r>
          <w:r>
            <w:rPr>
              <w:rFonts w:hint="eastAsia"/>
              <w:color w:val="auto"/>
              <w:highlight w:val="none"/>
            </w:rPr>
            <w:t>46</w:t>
          </w:r>
        </w:p>
        <w:p w14:paraId="3B0C0A0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"_Toc9674" </w:instrText>
          </w:r>
          <w:r>
            <w:rPr>
              <w:color w:val="auto"/>
              <w:highlight w:val="none"/>
            </w:rPr>
            <w:fldChar w:fldCharType="separate"/>
          </w:r>
          <w:r>
            <w:rPr>
              <w:rFonts w:hint="eastAsia" w:ascii="黑体" w:hAnsi="黑体" w:eastAsia="黑体"/>
              <w:color w:val="auto"/>
              <w:kern w:val="0"/>
              <w:highlight w:val="none"/>
            </w:rPr>
            <w:t xml:space="preserve">4.4 </w:t>
          </w:r>
          <w:r>
            <w:rPr>
              <w:rFonts w:hint="eastAsia"/>
              <w:color w:val="auto"/>
              <w:highlight w:val="none"/>
            </w:rPr>
            <w:t>方案比选</w:t>
          </w:r>
          <w:r>
            <w:rPr>
              <w:color w:val="auto"/>
              <w:highlight w:val="none"/>
            </w:rPr>
            <w:tab/>
          </w:r>
          <w:r>
            <w:rPr>
              <w:color w:val="auto"/>
              <w:highlight w:val="none"/>
            </w:rPr>
            <w:fldChar w:fldCharType="end"/>
          </w:r>
          <w:r>
            <w:rPr>
              <w:rFonts w:hint="eastAsia"/>
              <w:color w:val="auto"/>
              <w:highlight w:val="none"/>
            </w:rPr>
            <w:t>46</w:t>
          </w:r>
        </w:p>
        <w:p w14:paraId="57E9DEC6">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"_Toc28590" </w:instrText>
          </w:r>
          <w:r>
            <w:rPr>
              <w:color w:val="auto"/>
              <w:highlight w:val="none"/>
            </w:rPr>
            <w:fldChar w:fldCharType="separate"/>
          </w:r>
          <w:r>
            <w:rPr>
              <w:rFonts w:hint="eastAsia" w:ascii="黑体" w:hAnsi="黑体" w:eastAsia="黑体"/>
              <w:color w:val="auto"/>
              <w:highlight w:val="none"/>
            </w:rPr>
            <w:t xml:space="preserve">5 </w:t>
          </w:r>
          <w:r>
            <w:rPr>
              <w:rFonts w:hint="eastAsia"/>
              <w:color w:val="auto"/>
              <w:highlight w:val="none"/>
            </w:rPr>
            <w:t>初步设计阶段</w:t>
          </w:r>
          <w:r>
            <w:rPr>
              <w:color w:val="auto"/>
              <w:highlight w:val="none"/>
            </w:rPr>
            <w:tab/>
          </w:r>
          <w:r>
            <w:rPr>
              <w:color w:val="auto"/>
              <w:highlight w:val="none"/>
            </w:rPr>
            <w:fldChar w:fldCharType="end"/>
          </w:r>
          <w:r>
            <w:rPr>
              <w:rFonts w:hint="eastAsia"/>
              <w:color w:val="auto"/>
              <w:highlight w:val="none"/>
            </w:rPr>
            <w:t>47</w:t>
          </w:r>
        </w:p>
        <w:p w14:paraId="4214342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"_Toc21687" </w:instrText>
          </w:r>
          <w:r>
            <w:rPr>
              <w:color w:val="auto"/>
              <w:highlight w:val="none"/>
            </w:rPr>
            <w:fldChar w:fldCharType="separate"/>
          </w:r>
          <w:r>
            <w:rPr>
              <w:rFonts w:hint="eastAsia" w:ascii="黑体" w:hAnsi="黑体" w:eastAsia="黑体"/>
              <w:color w:val="auto"/>
              <w:kern w:val="0"/>
              <w:highlight w:val="none"/>
            </w:rPr>
            <w:t xml:space="preserve">5.2 </w:t>
          </w:r>
          <w:r>
            <w:rPr>
              <w:rFonts w:hint="eastAsia" w:ascii="黑体" w:hAnsi="黑体"/>
              <w:color w:val="auto"/>
              <w:highlight w:val="none"/>
            </w:rPr>
            <w:t>控制因素分析</w:t>
          </w:r>
          <w:r>
            <w:rPr>
              <w:color w:val="auto"/>
              <w:highlight w:val="none"/>
            </w:rPr>
            <w:tab/>
          </w:r>
          <w:r>
            <w:rPr>
              <w:color w:val="auto"/>
              <w:highlight w:val="none"/>
            </w:rPr>
            <w:fldChar w:fldCharType="end"/>
          </w:r>
          <w:r>
            <w:rPr>
              <w:rFonts w:hint="eastAsia"/>
              <w:color w:val="auto"/>
              <w:highlight w:val="none"/>
            </w:rPr>
            <w:t>47</w:t>
          </w:r>
        </w:p>
        <w:p w14:paraId="1C21E7C2">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hint="eastAsia" w:ascii="黑体" w:hAnsi="黑体" w:eastAsia="黑体"/>
              <w:color w:val="auto"/>
              <w:kern w:val="0"/>
              <w:highlight w:val="none"/>
            </w:rPr>
            <w:t xml:space="preserve">5.3 </w:t>
          </w:r>
          <w:r>
            <w:rPr>
              <w:rFonts w:hint="eastAsia" w:ascii="黑体" w:hAnsi="黑体"/>
              <w:color w:val="auto"/>
              <w:highlight w:val="none"/>
            </w:rPr>
            <w:t>交通疏解模拟</w:t>
          </w:r>
          <w:r>
            <w:rPr>
              <w:color w:val="auto"/>
              <w:highlight w:val="none"/>
            </w:rPr>
            <w:tab/>
          </w:r>
          <w:r>
            <w:rPr>
              <w:color w:val="auto"/>
              <w:highlight w:val="none"/>
            </w:rPr>
            <w:fldChar w:fldCharType="end"/>
          </w:r>
          <w:r>
            <w:rPr>
              <w:rFonts w:hint="eastAsia"/>
              <w:color w:val="auto"/>
              <w:highlight w:val="none"/>
            </w:rPr>
            <w:t>47</w:t>
          </w:r>
        </w:p>
        <w:p w14:paraId="5BC4AF4D">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"_Toc15239" </w:instrText>
          </w:r>
          <w:r>
            <w:rPr>
              <w:color w:val="auto"/>
              <w:highlight w:val="none"/>
            </w:rPr>
            <w:fldChar w:fldCharType="separate"/>
          </w:r>
          <w:r>
            <w:rPr>
              <w:rFonts w:hint="eastAsia" w:ascii="黑体" w:hAnsi="黑体" w:eastAsia="黑体"/>
              <w:color w:val="auto"/>
              <w:kern w:val="0"/>
              <w:highlight w:val="none"/>
            </w:rPr>
            <w:t xml:space="preserve">5.4 </w:t>
          </w:r>
          <w:r>
            <w:rPr>
              <w:rFonts w:hint="eastAsia" w:ascii="黑体" w:hAnsi="黑体"/>
              <w:color w:val="auto"/>
              <w:highlight w:val="none"/>
            </w:rPr>
            <w:t>管线迁改模拟</w:t>
          </w:r>
          <w:r>
            <w:rPr>
              <w:color w:val="auto"/>
              <w:highlight w:val="none"/>
            </w:rPr>
            <w:tab/>
          </w:r>
          <w:r>
            <w:rPr>
              <w:color w:val="auto"/>
              <w:highlight w:val="none"/>
            </w:rPr>
            <w:fldChar w:fldCharType="end"/>
          </w:r>
          <w:r>
            <w:rPr>
              <w:rFonts w:hint="eastAsia"/>
              <w:color w:val="auto"/>
              <w:highlight w:val="none"/>
            </w:rPr>
            <w:t>47</w:t>
          </w:r>
        </w:p>
        <w:p w14:paraId="2386152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"_Toc10650" </w:instrText>
          </w:r>
          <w:r>
            <w:rPr>
              <w:color w:val="auto"/>
              <w:highlight w:val="none"/>
            </w:rPr>
            <w:fldChar w:fldCharType="separate"/>
          </w:r>
          <w:r>
            <w:rPr>
              <w:rFonts w:hint="eastAsia" w:ascii="黑体" w:hAnsi="黑体" w:eastAsia="黑体"/>
              <w:color w:val="auto"/>
              <w:kern w:val="0"/>
              <w:highlight w:val="none"/>
            </w:rPr>
            <w:t xml:space="preserve">5.5 </w:t>
          </w:r>
          <w:r>
            <w:rPr>
              <w:rFonts w:hint="eastAsia"/>
              <w:color w:val="auto"/>
              <w:highlight w:val="none"/>
            </w:rPr>
            <w:t>设计方案深化</w:t>
          </w:r>
          <w:r>
            <w:rPr>
              <w:color w:val="auto"/>
              <w:highlight w:val="none"/>
            </w:rPr>
            <w:tab/>
          </w:r>
          <w:r>
            <w:rPr>
              <w:color w:val="auto"/>
              <w:highlight w:val="none"/>
            </w:rPr>
            <w:fldChar w:fldCharType="end"/>
          </w:r>
          <w:r>
            <w:rPr>
              <w:rFonts w:hint="eastAsia"/>
              <w:color w:val="auto"/>
              <w:highlight w:val="none"/>
            </w:rPr>
            <w:t>47</w:t>
          </w:r>
        </w:p>
        <w:p w14:paraId="4BD06BE8">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"_Toc12506" </w:instrText>
          </w:r>
          <w:r>
            <w:rPr>
              <w:color w:val="auto"/>
              <w:highlight w:val="none"/>
            </w:rPr>
            <w:fldChar w:fldCharType="separate"/>
          </w:r>
          <w:r>
            <w:rPr>
              <w:rFonts w:hint="eastAsia" w:ascii="黑体" w:hAnsi="黑体" w:eastAsia="黑体"/>
              <w:color w:val="auto"/>
              <w:highlight w:val="none"/>
            </w:rPr>
            <w:t xml:space="preserve">6 </w:t>
          </w:r>
          <w:r>
            <w:rPr>
              <w:rFonts w:hint="eastAsia"/>
              <w:color w:val="auto"/>
              <w:highlight w:val="none"/>
            </w:rPr>
            <w:t>施工图设计阶段</w:t>
          </w:r>
          <w:r>
            <w:rPr>
              <w:color w:val="auto"/>
              <w:highlight w:val="none"/>
            </w:rPr>
            <w:tab/>
          </w:r>
          <w:r>
            <w:rPr>
              <w:color w:val="auto"/>
              <w:highlight w:val="none"/>
            </w:rPr>
            <w:fldChar w:fldCharType="end"/>
          </w:r>
          <w:r>
            <w:rPr>
              <w:rFonts w:hint="eastAsia"/>
              <w:color w:val="auto"/>
              <w:highlight w:val="none"/>
            </w:rPr>
            <w:t>48</w:t>
          </w:r>
        </w:p>
        <w:p w14:paraId="15C86FC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"_Toc7408" </w:instrText>
          </w:r>
          <w:r>
            <w:rPr>
              <w:color w:val="auto"/>
              <w:highlight w:val="none"/>
            </w:rPr>
            <w:fldChar w:fldCharType="separate"/>
          </w:r>
          <w:r>
            <w:rPr>
              <w:rFonts w:hint="eastAsia" w:ascii="黑体" w:hAnsi="黑体" w:eastAsia="黑体"/>
              <w:color w:val="auto"/>
              <w:kern w:val="0"/>
              <w:highlight w:val="none"/>
            </w:rPr>
            <w:t xml:space="preserve">6.2 </w:t>
          </w:r>
          <w:r>
            <w:rPr>
              <w:rFonts w:hint="eastAsia" w:ascii="黑体" w:hAnsi="黑体"/>
              <w:color w:val="auto"/>
              <w:highlight w:val="none"/>
            </w:rPr>
            <w:t>管线综合与碰撞检查</w:t>
          </w:r>
          <w:r>
            <w:rPr>
              <w:color w:val="auto"/>
              <w:highlight w:val="none"/>
            </w:rPr>
            <w:tab/>
          </w:r>
          <w:r>
            <w:rPr>
              <w:color w:val="auto"/>
              <w:highlight w:val="none"/>
            </w:rPr>
            <w:fldChar w:fldCharType="end"/>
          </w:r>
          <w:r>
            <w:rPr>
              <w:rFonts w:hint="eastAsia"/>
              <w:color w:val="auto"/>
              <w:highlight w:val="none"/>
            </w:rPr>
            <w:t>48</w:t>
          </w:r>
        </w:p>
        <w:p w14:paraId="457536F4">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"_Toc10327" </w:instrText>
          </w:r>
          <w:r>
            <w:rPr>
              <w:color w:val="auto"/>
              <w:highlight w:val="none"/>
            </w:rPr>
            <w:fldChar w:fldCharType="separate"/>
          </w:r>
          <w:r>
            <w:rPr>
              <w:rFonts w:hint="eastAsia" w:ascii="黑体" w:hAnsi="黑体" w:eastAsia="黑体"/>
              <w:color w:val="auto"/>
              <w:kern w:val="0"/>
              <w:highlight w:val="none"/>
            </w:rPr>
            <w:t xml:space="preserve">6.3 </w:t>
          </w:r>
          <w:r>
            <w:rPr>
              <w:rFonts w:hint="eastAsia" w:ascii="黑体" w:hAnsi="黑体"/>
              <w:color w:val="auto"/>
              <w:highlight w:val="none"/>
            </w:rPr>
            <w:t>净空检查</w:t>
          </w:r>
          <w:r>
            <w:rPr>
              <w:color w:val="auto"/>
              <w:highlight w:val="none"/>
            </w:rPr>
            <w:tab/>
          </w:r>
          <w:r>
            <w:rPr>
              <w:color w:val="auto"/>
              <w:highlight w:val="none"/>
            </w:rPr>
            <w:fldChar w:fldCharType="end"/>
          </w:r>
          <w:r>
            <w:rPr>
              <w:rFonts w:hint="eastAsia"/>
              <w:color w:val="auto"/>
              <w:highlight w:val="none"/>
            </w:rPr>
            <w:t>48</w:t>
          </w:r>
        </w:p>
        <w:p w14:paraId="3CCA0CAD">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"_Toc11074" </w:instrText>
          </w:r>
          <w:r>
            <w:rPr>
              <w:color w:val="auto"/>
              <w:highlight w:val="none"/>
            </w:rPr>
            <w:fldChar w:fldCharType="separate"/>
          </w:r>
          <w:r>
            <w:rPr>
              <w:rFonts w:hint="eastAsia" w:ascii="黑体" w:hAnsi="黑体" w:eastAsia="黑体"/>
              <w:color w:val="auto"/>
              <w:kern w:val="0"/>
              <w:highlight w:val="none"/>
            </w:rPr>
            <w:t xml:space="preserve">6.4 </w:t>
          </w:r>
          <w:r>
            <w:rPr>
              <w:rFonts w:hint="eastAsia" w:ascii="黑体" w:hAnsi="黑体"/>
              <w:color w:val="auto"/>
              <w:highlight w:val="none"/>
            </w:rPr>
            <w:t>预留预埋核查</w:t>
          </w:r>
          <w:r>
            <w:rPr>
              <w:color w:val="auto"/>
              <w:highlight w:val="none"/>
            </w:rPr>
            <w:tab/>
          </w:r>
          <w:r>
            <w:rPr>
              <w:color w:val="auto"/>
              <w:highlight w:val="none"/>
            </w:rPr>
            <w:fldChar w:fldCharType="end"/>
          </w:r>
          <w:r>
            <w:rPr>
              <w:rFonts w:hint="eastAsia"/>
              <w:color w:val="auto"/>
              <w:highlight w:val="none"/>
            </w:rPr>
            <w:t>48</w:t>
          </w:r>
        </w:p>
        <w:p w14:paraId="2E55211D">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"_Toc21133" </w:instrText>
          </w:r>
          <w:r>
            <w:rPr>
              <w:color w:val="auto"/>
              <w:highlight w:val="none"/>
            </w:rPr>
            <w:fldChar w:fldCharType="separate"/>
          </w:r>
          <w:r>
            <w:rPr>
              <w:rFonts w:hint="eastAsia" w:ascii="黑体" w:hAnsi="黑体" w:eastAsia="黑体"/>
              <w:color w:val="auto"/>
              <w:kern w:val="0"/>
              <w:highlight w:val="none"/>
            </w:rPr>
            <w:t xml:space="preserve">6.5 </w:t>
          </w:r>
          <w:r>
            <w:rPr>
              <w:rFonts w:hint="eastAsia"/>
              <w:color w:val="auto"/>
              <w:highlight w:val="none"/>
            </w:rPr>
            <w:t>工程量复核</w:t>
          </w:r>
          <w:r>
            <w:rPr>
              <w:color w:val="auto"/>
              <w:highlight w:val="none"/>
            </w:rPr>
            <w:tab/>
          </w:r>
          <w:r>
            <w:rPr>
              <w:color w:val="auto"/>
              <w:highlight w:val="none"/>
            </w:rPr>
            <w:fldChar w:fldCharType="end"/>
          </w:r>
          <w:r>
            <w:rPr>
              <w:rFonts w:hint="eastAsia"/>
              <w:color w:val="auto"/>
              <w:highlight w:val="none"/>
            </w:rPr>
            <w:t>48</w:t>
          </w:r>
        </w:p>
        <w:p w14:paraId="12E42E54">
          <w:pPr>
            <w:pStyle w:val="10"/>
            <w:tabs>
              <w:tab w:val="right" w:leader="dot" w:pos="9354"/>
              <w:tab w:val="clear" w:pos="1260"/>
              <w:tab w:val="clear"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"_Toc16778" </w:instrText>
          </w:r>
          <w:r>
            <w:rPr>
              <w:color w:val="auto"/>
              <w:highlight w:val="none"/>
            </w:rPr>
            <w:fldChar w:fldCharType="separate"/>
          </w:r>
          <w:r>
            <w:rPr>
              <w:rFonts w:hint="eastAsia" w:ascii="黑体" w:hAnsi="黑体" w:eastAsia="黑体"/>
              <w:color w:val="auto"/>
              <w:highlight w:val="none"/>
            </w:rPr>
            <w:t xml:space="preserve">7 </w:t>
          </w:r>
          <w:r>
            <w:rPr>
              <w:rFonts w:hint="eastAsia"/>
              <w:color w:val="auto"/>
              <w:highlight w:val="none"/>
            </w:rPr>
            <w:t>施工图深化阶段</w:t>
          </w:r>
          <w:r>
            <w:rPr>
              <w:color w:val="auto"/>
              <w:highlight w:val="none"/>
            </w:rPr>
            <w:tab/>
          </w:r>
          <w:r>
            <w:rPr>
              <w:color w:val="auto"/>
              <w:highlight w:val="none"/>
            </w:rPr>
            <w:fldChar w:fldCharType="end"/>
          </w:r>
          <w:r>
            <w:rPr>
              <w:rFonts w:hint="eastAsia"/>
              <w:color w:val="auto"/>
              <w:highlight w:val="none"/>
              <w:lang w:val="en-US" w:eastAsia="zh-CN"/>
            </w:rPr>
            <w:t>49</w:t>
          </w:r>
        </w:p>
        <w:p w14:paraId="56D2095B">
          <w:pPr>
            <w:pStyle w:val="11"/>
            <w:tabs>
              <w:tab w:val="right" w:leader="dot" w:pos="9354"/>
              <w:tab w:val="clear" w:pos="1470"/>
              <w:tab w:val="clear"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"_Toc15049" </w:instrText>
          </w:r>
          <w:r>
            <w:rPr>
              <w:color w:val="auto"/>
              <w:highlight w:val="none"/>
            </w:rPr>
            <w:fldChar w:fldCharType="separate"/>
          </w:r>
          <w:r>
            <w:rPr>
              <w:rFonts w:hint="eastAsia" w:ascii="黑体" w:hAnsi="黑体" w:eastAsia="黑体"/>
              <w:color w:val="auto"/>
              <w:kern w:val="0"/>
              <w:highlight w:val="none"/>
            </w:rPr>
            <w:t xml:space="preserve">7.2 </w:t>
          </w:r>
          <w:r>
            <w:rPr>
              <w:rFonts w:hint="eastAsia" w:ascii="黑体" w:hAnsi="黑体"/>
              <w:color w:val="auto"/>
              <w:highlight w:val="none"/>
            </w:rPr>
            <w:t>装配式构件深化</w:t>
          </w:r>
          <w:r>
            <w:rPr>
              <w:color w:val="auto"/>
              <w:highlight w:val="none"/>
            </w:rPr>
            <w:tab/>
          </w:r>
          <w:r>
            <w:rPr>
              <w:color w:val="auto"/>
              <w:highlight w:val="none"/>
            </w:rPr>
            <w:fldChar w:fldCharType="end"/>
          </w:r>
          <w:r>
            <w:rPr>
              <w:rFonts w:hint="eastAsia"/>
              <w:color w:val="auto"/>
              <w:highlight w:val="none"/>
              <w:lang w:val="en-US" w:eastAsia="zh-CN"/>
            </w:rPr>
            <w:t>49</w:t>
          </w:r>
        </w:p>
        <w:p w14:paraId="52BDD4C7">
          <w:pPr>
            <w:pStyle w:val="11"/>
            <w:tabs>
              <w:tab w:val="right" w:leader="dot" w:pos="9354"/>
              <w:tab w:val="clear" w:pos="1470"/>
              <w:tab w:val="clear"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"_Toc1339" </w:instrText>
          </w:r>
          <w:r>
            <w:rPr>
              <w:color w:val="auto"/>
              <w:highlight w:val="none"/>
            </w:rPr>
            <w:fldChar w:fldCharType="separate"/>
          </w:r>
          <w:r>
            <w:rPr>
              <w:rFonts w:hint="eastAsia" w:ascii="黑体" w:hAnsi="黑体" w:eastAsia="黑体"/>
              <w:color w:val="auto"/>
              <w:kern w:val="0"/>
              <w:highlight w:val="none"/>
            </w:rPr>
            <w:t xml:space="preserve">7.3 </w:t>
          </w:r>
          <w:r>
            <w:rPr>
              <w:rFonts w:hint="eastAsia" w:ascii="黑体" w:hAnsi="黑体"/>
              <w:color w:val="auto"/>
              <w:highlight w:val="none"/>
            </w:rPr>
            <w:t>机电管线深化</w:t>
          </w:r>
          <w:r>
            <w:rPr>
              <w:color w:val="auto"/>
              <w:highlight w:val="none"/>
            </w:rPr>
            <w:tab/>
          </w:r>
          <w:r>
            <w:rPr>
              <w:color w:val="auto"/>
              <w:highlight w:val="none"/>
            </w:rPr>
            <w:fldChar w:fldCharType="end"/>
          </w:r>
          <w:r>
            <w:rPr>
              <w:rFonts w:hint="eastAsia"/>
              <w:color w:val="auto"/>
              <w:highlight w:val="none"/>
              <w:lang w:val="en-US" w:eastAsia="zh-CN"/>
            </w:rPr>
            <w:t>49</w:t>
          </w:r>
        </w:p>
        <w:p w14:paraId="1AE2D4E9">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"_Toc513" </w:instrText>
          </w:r>
          <w:r>
            <w:rPr>
              <w:color w:val="auto"/>
              <w:highlight w:val="none"/>
            </w:rPr>
            <w:fldChar w:fldCharType="separate"/>
          </w:r>
          <w:r>
            <w:rPr>
              <w:rFonts w:hint="eastAsia" w:ascii="黑体" w:hAnsi="黑体" w:eastAsia="黑体"/>
              <w:color w:val="auto"/>
              <w:highlight w:val="none"/>
            </w:rPr>
            <w:t xml:space="preserve">8 </w:t>
          </w:r>
          <w:r>
            <w:rPr>
              <w:rFonts w:hint="eastAsia"/>
              <w:color w:val="auto"/>
              <w:highlight w:val="none"/>
            </w:rPr>
            <w:t>施工准备阶段</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0B0EA831">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"_Toc19839" </w:instrText>
          </w:r>
          <w:r>
            <w:rPr>
              <w:color w:val="auto"/>
              <w:highlight w:val="none"/>
            </w:rPr>
            <w:fldChar w:fldCharType="separate"/>
          </w:r>
          <w:r>
            <w:rPr>
              <w:rFonts w:hint="eastAsia" w:ascii="黑体" w:hAnsi="黑体" w:eastAsia="黑体"/>
              <w:color w:val="auto"/>
              <w:kern w:val="0"/>
              <w:highlight w:val="none"/>
            </w:rPr>
            <w:t xml:space="preserve">8.1 </w:t>
          </w:r>
          <w:r>
            <w:rPr>
              <w:rFonts w:hint="eastAsia"/>
              <w:color w:val="auto"/>
              <w:highlight w:val="none"/>
            </w:rPr>
            <w:t>一般规定</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4C572675">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"_Toc3913" </w:instrText>
          </w:r>
          <w:r>
            <w:rPr>
              <w:color w:val="auto"/>
              <w:highlight w:val="none"/>
            </w:rPr>
            <w:fldChar w:fldCharType="separate"/>
          </w:r>
          <w:r>
            <w:rPr>
              <w:rFonts w:hint="eastAsia" w:ascii="黑体" w:hAnsi="黑体" w:eastAsia="黑体"/>
              <w:color w:val="auto"/>
              <w:kern w:val="0"/>
              <w:highlight w:val="none"/>
            </w:rPr>
            <w:t xml:space="preserve">8.2 </w:t>
          </w:r>
          <w:r>
            <w:rPr>
              <w:rFonts w:hint="eastAsia"/>
              <w:color w:val="auto"/>
              <w:highlight w:val="none"/>
            </w:rPr>
            <w:t>施工场地规划</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466B3B5B">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"_Toc31305" </w:instrText>
          </w:r>
          <w:r>
            <w:rPr>
              <w:color w:val="auto"/>
              <w:highlight w:val="none"/>
            </w:rPr>
            <w:fldChar w:fldCharType="separate"/>
          </w:r>
          <w:r>
            <w:rPr>
              <w:rFonts w:hint="eastAsia" w:ascii="黑体" w:hAnsi="黑体" w:eastAsia="黑体"/>
              <w:color w:val="auto"/>
              <w:kern w:val="0"/>
              <w:highlight w:val="none"/>
            </w:rPr>
            <w:t xml:space="preserve">8.3 </w:t>
          </w:r>
          <w:r>
            <w:rPr>
              <w:rFonts w:hint="eastAsia"/>
              <w:color w:val="auto"/>
              <w:highlight w:val="none"/>
            </w:rPr>
            <w:t>施工方案模拟</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1AD0FEA2">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"_Toc4251" </w:instrText>
          </w:r>
          <w:r>
            <w:rPr>
              <w:color w:val="auto"/>
              <w:highlight w:val="none"/>
            </w:rPr>
            <w:fldChar w:fldCharType="separate"/>
          </w:r>
          <w:r>
            <w:rPr>
              <w:rFonts w:hint="eastAsia" w:ascii="黑体" w:hAnsi="黑体" w:eastAsia="黑体"/>
              <w:color w:val="auto"/>
              <w:kern w:val="0"/>
              <w:highlight w:val="none"/>
            </w:rPr>
            <w:t xml:space="preserve">8.4 </w:t>
          </w:r>
          <w:r>
            <w:rPr>
              <w:rFonts w:hint="eastAsia"/>
              <w:color w:val="auto"/>
              <w:highlight w:val="none"/>
            </w:rPr>
            <w:t>应急预案模拟</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1</w:t>
          </w:r>
        </w:p>
        <w:p w14:paraId="5EC547E5">
          <w:pPr>
            <w:pStyle w:val="10"/>
            <w:tabs>
              <w:tab w:val="right" w:leader="dot" w:pos="9354"/>
              <w:tab w:val="clear" w:pos="126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_Toc20063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 xml:space="preserve">9 </w:t>
          </w:r>
          <w:r>
            <w:rPr>
              <w:rFonts w:hint="eastAsia"/>
              <w:color w:val="auto"/>
              <w:highlight w:val="none"/>
            </w:rPr>
            <w:t>施工实施阶段</w:t>
          </w:r>
          <w:r>
            <w:rPr>
              <w:color w:val="auto"/>
              <w:highlight w:val="none"/>
            </w:rPr>
            <w:tab/>
          </w:r>
          <w:r>
            <w:rPr>
              <w:rFonts w:hint="eastAsia"/>
              <w:color w:val="auto"/>
              <w:highlight w:val="none"/>
            </w:rPr>
            <w:t>5</w:t>
          </w:r>
          <w:r>
            <w:rPr>
              <w:rFonts w:asciiTheme="minorEastAsia" w:hAnsiTheme="minorEastAsia"/>
              <w:color w:val="auto"/>
              <w:szCs w:val="21"/>
              <w:highlight w:val="none"/>
            </w:rPr>
            <w:fldChar w:fldCharType="end"/>
          </w:r>
          <w:r>
            <w:rPr>
              <w:rFonts w:hint="eastAsia"/>
              <w:color w:val="auto"/>
              <w:highlight w:val="none"/>
              <w:lang w:val="en-US" w:eastAsia="zh-CN"/>
            </w:rPr>
            <w:t>2</w:t>
          </w:r>
        </w:p>
        <w:p w14:paraId="5163FB20">
          <w:pPr>
            <w:pStyle w:val="11"/>
            <w:tabs>
              <w:tab w:val="right" w:leader="dot" w:pos="9354"/>
              <w:tab w:val="clear" w:pos="1470"/>
              <w:tab w:val="clear" w:pos="8296"/>
            </w:tabs>
            <w:rPr>
              <w:rFonts w:hint="eastAsia" w:eastAsia="宋体" w:asciiTheme="minorEastAsia" w:hAnsiTheme="minorEastAsia"/>
              <w:color w:val="auto"/>
              <w:szCs w:val="21"/>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_Toc16085 </w:instrText>
          </w:r>
          <w:r>
            <w:rPr>
              <w:rFonts w:asciiTheme="minorEastAsia" w:hAnsiTheme="minorEastAsia"/>
              <w:color w:val="auto"/>
              <w:szCs w:val="21"/>
              <w:highlight w:val="none"/>
            </w:rPr>
            <w:fldChar w:fldCharType="separate"/>
          </w:r>
          <w:r>
            <w:rPr>
              <w:rFonts w:asciiTheme="minorEastAsia" w:hAnsiTheme="minorEastAsia"/>
              <w:color w:val="auto"/>
              <w:szCs w:val="21"/>
              <w:highlight w:val="none"/>
            </w:rPr>
            <w:t xml:space="preserve">9.1 </w:t>
          </w:r>
          <w:r>
            <w:rPr>
              <w:rFonts w:asciiTheme="minorEastAsia" w:hAnsiTheme="minorEastAsia"/>
              <w:color w:val="auto"/>
              <w:szCs w:val="21"/>
              <w:highlight w:val="none"/>
              <w:lang w:val="en-AU"/>
            </w:rPr>
            <w:t>一般</w:t>
          </w:r>
          <w:r>
            <w:rPr>
              <w:rFonts w:asciiTheme="minorEastAsia" w:hAnsiTheme="minorEastAsia"/>
              <w:color w:val="auto"/>
              <w:szCs w:val="21"/>
              <w:highlight w:val="none"/>
            </w:rPr>
            <w:t>规定</w:t>
          </w:r>
          <w:r>
            <w:rPr>
              <w:color w:val="auto"/>
              <w:highlight w:val="none"/>
            </w:rPr>
            <w:tab/>
          </w:r>
          <w:r>
            <w:rPr>
              <w:rFonts w:hint="eastAsia" w:asciiTheme="minorEastAsia" w:hAnsiTheme="minorEastAsia"/>
              <w:color w:val="auto"/>
              <w:szCs w:val="21"/>
              <w:highlight w:val="none"/>
            </w:rPr>
            <w:t>5</w:t>
          </w:r>
          <w:r>
            <w:rPr>
              <w:rFonts w:asciiTheme="minorEastAsia" w:hAnsiTheme="minorEastAsia"/>
              <w:color w:val="auto"/>
              <w:szCs w:val="21"/>
              <w:highlight w:val="none"/>
            </w:rPr>
            <w:fldChar w:fldCharType="end"/>
          </w:r>
          <w:r>
            <w:rPr>
              <w:rFonts w:hint="eastAsia" w:asciiTheme="minorEastAsia" w:hAnsiTheme="minorEastAsia"/>
              <w:color w:val="auto"/>
              <w:szCs w:val="21"/>
              <w:highlight w:val="none"/>
              <w:lang w:val="en-US" w:eastAsia="zh-CN"/>
            </w:rPr>
            <w:t>2</w:t>
          </w:r>
        </w:p>
        <w:p w14:paraId="03A5D9CA">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"_Toc11361" </w:instrText>
          </w:r>
          <w:r>
            <w:rPr>
              <w:color w:val="auto"/>
              <w:highlight w:val="none"/>
            </w:rPr>
            <w:fldChar w:fldCharType="separate"/>
          </w:r>
          <w:r>
            <w:rPr>
              <w:rFonts w:hint="eastAsia" w:ascii="黑体" w:hAnsi="黑体" w:eastAsia="黑体"/>
              <w:color w:val="auto"/>
              <w:kern w:val="0"/>
              <w:highlight w:val="none"/>
            </w:rPr>
            <w:t xml:space="preserve">9.2 </w:t>
          </w:r>
          <w:r>
            <w:rPr>
              <w:rFonts w:hint="eastAsia"/>
              <w:color w:val="auto"/>
              <w:highlight w:val="none"/>
            </w:rPr>
            <w:t>进度管理</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2</w:t>
          </w:r>
        </w:p>
        <w:p w14:paraId="0CA0C1B9">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"_Toc12903" </w:instrText>
          </w:r>
          <w:r>
            <w:rPr>
              <w:color w:val="auto"/>
              <w:highlight w:val="none"/>
            </w:rPr>
            <w:fldChar w:fldCharType="separate"/>
          </w:r>
          <w:r>
            <w:rPr>
              <w:rFonts w:hint="eastAsia" w:ascii="黑体" w:hAnsi="黑体" w:eastAsia="黑体"/>
              <w:color w:val="auto"/>
              <w:kern w:val="0"/>
              <w:highlight w:val="none"/>
            </w:rPr>
            <w:t xml:space="preserve">9.3 </w:t>
          </w:r>
          <w:r>
            <w:rPr>
              <w:rFonts w:hint="eastAsia"/>
              <w:color w:val="auto"/>
              <w:highlight w:val="none"/>
            </w:rPr>
            <w:t>质量管理</w:t>
          </w:r>
          <w:r>
            <w:rPr>
              <w:color w:val="auto"/>
              <w:highlight w:val="none"/>
            </w:rPr>
            <w:tab/>
          </w:r>
          <w:r>
            <w:rPr>
              <w:color w:val="auto"/>
              <w:highlight w:val="none"/>
            </w:rPr>
            <w:fldChar w:fldCharType="end"/>
          </w:r>
          <w:r>
            <w:rPr>
              <w:rFonts w:hint="eastAsia" w:asciiTheme="minorEastAsia" w:hAnsiTheme="minorEastAsia"/>
              <w:color w:val="auto"/>
              <w:szCs w:val="21"/>
              <w:highlight w:val="none"/>
            </w:rPr>
            <w:t>5</w:t>
          </w:r>
          <w:r>
            <w:rPr>
              <w:rFonts w:hint="eastAsia" w:asciiTheme="minorEastAsia" w:hAnsiTheme="minorEastAsia"/>
              <w:color w:val="auto"/>
              <w:szCs w:val="21"/>
              <w:highlight w:val="none"/>
              <w:lang w:val="en-US" w:eastAsia="zh-CN"/>
            </w:rPr>
            <w:t>2</w:t>
          </w:r>
        </w:p>
        <w:p w14:paraId="0E34978C">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"_Toc20994" </w:instrText>
          </w:r>
          <w:r>
            <w:rPr>
              <w:color w:val="auto"/>
              <w:highlight w:val="none"/>
            </w:rPr>
            <w:fldChar w:fldCharType="separate"/>
          </w:r>
          <w:r>
            <w:rPr>
              <w:rFonts w:hint="eastAsia" w:ascii="黑体" w:hAnsi="黑体" w:eastAsia="黑体"/>
              <w:color w:val="auto"/>
              <w:kern w:val="0"/>
              <w:highlight w:val="none"/>
            </w:rPr>
            <w:t xml:space="preserve">9.4 </w:t>
          </w:r>
          <w:r>
            <w:rPr>
              <w:rFonts w:hint="eastAsia"/>
              <w:color w:val="auto"/>
              <w:highlight w:val="none"/>
            </w:rPr>
            <w:t>安全管理</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2</w:t>
          </w:r>
        </w:p>
        <w:p w14:paraId="12A69853">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"_Toc17691" </w:instrText>
          </w:r>
          <w:r>
            <w:rPr>
              <w:color w:val="auto"/>
              <w:highlight w:val="none"/>
            </w:rPr>
            <w:fldChar w:fldCharType="separate"/>
          </w:r>
          <w:r>
            <w:rPr>
              <w:rFonts w:hint="eastAsia" w:ascii="黑体" w:hAnsi="黑体" w:eastAsia="黑体"/>
              <w:color w:val="auto"/>
              <w:kern w:val="0"/>
              <w:highlight w:val="none"/>
            </w:rPr>
            <w:t xml:space="preserve">9.5 </w:t>
          </w:r>
          <w:r>
            <w:rPr>
              <w:rFonts w:hint="eastAsia"/>
              <w:color w:val="auto"/>
              <w:highlight w:val="none"/>
            </w:rPr>
            <w:t>成本管理</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2</w:t>
          </w:r>
        </w:p>
        <w:p w14:paraId="2CBC86E9">
          <w:pPr>
            <w:pStyle w:val="10"/>
            <w:tabs>
              <w:tab w:val="right" w:leader="dot" w:pos="9354"/>
              <w:tab w:val="clear" w:pos="126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_Toc22610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 xml:space="preserve">10 </w:t>
          </w:r>
          <w:r>
            <w:rPr>
              <w:rFonts w:hint="eastAsia"/>
              <w:color w:val="auto"/>
              <w:highlight w:val="none"/>
            </w:rPr>
            <w:t>运维阶段</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asciiTheme="minorEastAsia" w:hAnsiTheme="minorEastAsia"/>
              <w:color w:val="auto"/>
              <w:szCs w:val="21"/>
              <w:highlight w:val="none"/>
              <w:lang w:val="en-US" w:eastAsia="zh-CN"/>
            </w:rPr>
            <w:t>4</w:t>
          </w:r>
        </w:p>
        <w:p w14:paraId="579070AF">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_Toc24231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10.1</w:t>
          </w:r>
          <w:r>
            <w:rPr>
              <w:rFonts w:hint="eastAsia"/>
              <w:color w:val="auto"/>
              <w:highlight w:val="none"/>
            </w:rPr>
            <w:t>　一般规定</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5B3FD3D2">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_Toc19341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2</w:t>
          </w:r>
          <w:r>
            <w:rPr>
              <w:rFonts w:hint="eastAsia"/>
              <w:color w:val="auto"/>
              <w:highlight w:val="none"/>
            </w:rPr>
            <w:t>　资产管理</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3AAE0EDC">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_Toc12823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3</w:t>
          </w:r>
          <w:r>
            <w:rPr>
              <w:rFonts w:hint="eastAsia"/>
              <w:color w:val="auto"/>
              <w:highlight w:val="none"/>
            </w:rPr>
            <w:t>　设备集成与监控</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427CD328">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_Toc12276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4</w:t>
          </w:r>
          <w:r>
            <w:rPr>
              <w:rFonts w:hint="eastAsia"/>
              <w:color w:val="auto"/>
              <w:highlight w:val="none"/>
            </w:rPr>
            <w:t>　应急管理</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49BD7913">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_Toc13920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5</w:t>
          </w:r>
          <w:r>
            <w:rPr>
              <w:rFonts w:hint="eastAsia"/>
              <w:color w:val="auto"/>
              <w:highlight w:val="none"/>
            </w:rPr>
            <w:t>　维护管理</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5</w:t>
          </w:r>
        </w:p>
        <w:p w14:paraId="04DABC0D">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_Toc13920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10.6</w:t>
          </w:r>
          <w:r>
            <w:rPr>
              <w:rFonts w:hint="eastAsia"/>
              <w:color w:val="auto"/>
              <w:highlight w:val="none"/>
            </w:rPr>
            <w:t>　平战转换</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5</w:t>
          </w:r>
        </w:p>
        <w:p w14:paraId="566CF2A6">
          <w:pPr>
            <w:pStyle w:val="21"/>
            <w:ind w:firstLine="0" w:firstLineChars="0"/>
            <w:rPr>
              <w:color w:val="auto"/>
              <w:highlight w:val="none"/>
            </w:rPr>
          </w:pPr>
          <w:r>
            <w:rPr>
              <w:rFonts w:asciiTheme="minorEastAsia" w:hAnsiTheme="minorEastAsia"/>
              <w:color w:val="auto"/>
              <w:szCs w:val="21"/>
              <w:highlight w:val="none"/>
            </w:rPr>
            <w:fldChar w:fldCharType="end"/>
          </w:r>
        </w:p>
      </w:sdtContent>
    </w:sdt>
    <w:p w14:paraId="2CA59F6D">
      <w:pPr>
        <w:ind w:firstLine="640"/>
        <w:rPr>
          <w:rFonts w:hint="eastAsia" w:ascii="黑体" w:hAnsi="黑体" w:eastAsia="黑体"/>
          <w:color w:val="auto"/>
          <w:sz w:val="32"/>
          <w:szCs w:val="32"/>
          <w:highlight w:val="none"/>
        </w:rPr>
      </w:pPr>
      <w:bookmarkStart w:id="305" w:name="_Ref20478378"/>
      <w:r>
        <w:rPr>
          <w:rFonts w:ascii="黑体" w:hAnsi="黑体" w:eastAsia="黑体"/>
          <w:color w:val="auto"/>
          <w:sz w:val="32"/>
          <w:szCs w:val="32"/>
          <w:highlight w:val="none"/>
        </w:rPr>
        <w:br w:type="page"/>
      </w:r>
    </w:p>
    <w:p w14:paraId="68E1D942">
      <w:pPr>
        <w:pStyle w:val="21"/>
        <w:numPr>
          <w:ilvl w:val="0"/>
          <w:numId w:val="96"/>
        </w:numPr>
        <w:spacing w:line="480" w:lineRule="auto"/>
        <w:ind w:left="0" w:firstLine="640"/>
        <w:jc w:val="center"/>
        <w:rPr>
          <w:rFonts w:hint="eastAsia" w:ascii="黑体" w:hAnsi="黑体" w:eastAsia="黑体"/>
          <w:color w:val="auto"/>
          <w:sz w:val="32"/>
          <w:szCs w:val="32"/>
          <w:highlight w:val="none"/>
        </w:rPr>
      </w:pPr>
      <w:r>
        <w:rPr>
          <w:rFonts w:ascii="黑体" w:hAnsi="黑体" w:eastAsia="黑体"/>
          <w:color w:val="auto"/>
          <w:sz w:val="32"/>
          <w:szCs w:val="32"/>
          <w:highlight w:val="none"/>
        </w:rPr>
        <w:t>总则</w:t>
      </w:r>
      <w:bookmarkEnd w:id="305"/>
    </w:p>
    <w:p w14:paraId="3B58AFD0">
      <w:pPr>
        <w:pStyle w:val="31"/>
        <w:ind w:firstLine="428"/>
        <w:rPr>
          <w:rStyle w:val="24"/>
          <w:rFonts w:hint="eastAsia"/>
          <w:bCs w:val="0"/>
          <w:color w:val="auto"/>
          <w:szCs w:val="22"/>
          <w:highlight w:val="none"/>
        </w:rPr>
      </w:pPr>
      <w:r>
        <w:rPr>
          <w:rStyle w:val="24"/>
          <w:color w:val="auto"/>
          <w:highlight w:val="none"/>
        </w:rPr>
        <w:t>1.0.1</w:t>
      </w:r>
      <w:r>
        <w:rPr>
          <w:rStyle w:val="24"/>
          <w:rFonts w:hint="eastAsia"/>
          <w:color w:val="auto"/>
          <w:highlight w:val="none"/>
        </w:rPr>
        <w:t>　建筑信息模型是指在建设工程及设施设备全生命周期内，对其几何、物理、功能和管理特效的数字化表达。</w:t>
      </w:r>
      <w:r>
        <w:rPr>
          <w:rFonts w:hint="eastAsia"/>
          <w:color w:val="auto"/>
          <w:highlight w:val="none"/>
        </w:rPr>
        <w:t>建筑信息模型的应用，一方面是贯彻执行国家技术经济政策，推进工程建设信息化，另一方面可以提高工程建设企业的生产效率和经济效益。为有效发挥标准的引导和约束作用，本标准对建筑工程模型应用提出了统一的基本要求。在技术条件相同情况下，市政工程、道路交通等专项信息模型应用标准也可使用。</w:t>
      </w:r>
    </w:p>
    <w:p w14:paraId="545D9B8C">
      <w:pPr>
        <w:pStyle w:val="31"/>
        <w:ind w:firstLine="428"/>
        <w:rPr>
          <w:color w:val="auto"/>
          <w:szCs w:val="21"/>
          <w:highlight w:val="none"/>
        </w:rPr>
      </w:pPr>
      <w:r>
        <w:rPr>
          <w:rStyle w:val="24"/>
          <w:color w:val="auto"/>
          <w:highlight w:val="none"/>
        </w:rPr>
        <w:t>1.0.2</w:t>
      </w:r>
      <w:r>
        <w:rPr>
          <w:rStyle w:val="24"/>
          <w:rFonts w:hint="eastAsia"/>
          <w:color w:val="auto"/>
          <w:highlight w:val="none"/>
        </w:rPr>
        <w:t>　</w:t>
      </w:r>
      <w:r>
        <w:rPr>
          <w:rFonts w:hint="eastAsia"/>
          <w:color w:val="auto"/>
          <w:highlight w:val="none"/>
        </w:rPr>
        <w:t>结合</w:t>
      </w:r>
      <w:r>
        <w:rPr>
          <w:color w:val="auto"/>
          <w:highlight w:val="none"/>
        </w:rPr>
        <w:t>模型</w:t>
      </w:r>
      <w:r>
        <w:rPr>
          <w:rFonts w:hint="eastAsia"/>
          <w:color w:val="auto"/>
          <w:highlight w:val="none"/>
        </w:rPr>
        <w:t>技术发展和应用现状，</w:t>
      </w:r>
      <w:r>
        <w:rPr>
          <w:rFonts w:hint="eastAsia"/>
          <w:color w:val="auto"/>
          <w:szCs w:val="21"/>
          <w:highlight w:val="none"/>
        </w:rPr>
        <w:t>本标准从</w:t>
      </w:r>
      <w:r>
        <w:rPr>
          <w:rFonts w:hint="eastAsia"/>
          <w:color w:val="auto"/>
          <w:highlight w:val="none"/>
        </w:rPr>
        <w:t>建筑工程</w:t>
      </w:r>
      <w:r>
        <w:rPr>
          <w:rFonts w:hint="eastAsia"/>
          <w:color w:val="auto"/>
          <w:szCs w:val="21"/>
          <w:highlight w:val="none"/>
        </w:rPr>
        <w:t>全生命期模型的应用出发，包括了整个项目应用点的规划与实施指导。</w:t>
      </w:r>
      <w:r>
        <w:rPr>
          <w:rFonts w:hint="eastAsia"/>
          <w:color w:val="auto"/>
          <w:highlight w:val="none"/>
        </w:rPr>
        <w:t>对于在建或既有运营的建筑工程也可以根据需要，有选择地开展模型应用工作。</w:t>
      </w:r>
    </w:p>
    <w:p w14:paraId="262533A9">
      <w:pPr>
        <w:pStyle w:val="31"/>
        <w:ind w:firstLine="648"/>
        <w:rPr>
          <w:color w:val="auto"/>
          <w:sz w:val="32"/>
          <w:highlight w:val="none"/>
        </w:rPr>
      </w:pPr>
    </w:p>
    <w:p w14:paraId="64B71A28">
      <w:pPr>
        <w:pStyle w:val="31"/>
        <w:ind w:firstLine="648"/>
        <w:rPr>
          <w:color w:val="auto"/>
          <w:sz w:val="32"/>
          <w:highlight w:val="none"/>
        </w:rPr>
        <w:sectPr>
          <w:pgSz w:w="11906" w:h="16838"/>
          <w:pgMar w:top="1418" w:right="1418" w:bottom="1361" w:left="1134" w:header="851" w:footer="992" w:gutter="0"/>
          <w:cols w:space="720" w:num="1"/>
          <w:docGrid w:type="lines" w:linePitch="312" w:charSpace="0"/>
        </w:sectPr>
      </w:pPr>
    </w:p>
    <w:p w14:paraId="167BD622">
      <w:pPr>
        <w:pStyle w:val="21"/>
        <w:numPr>
          <w:ilvl w:val="0"/>
          <w:numId w:val="97"/>
        </w:numPr>
        <w:spacing w:line="480" w:lineRule="auto"/>
        <w:ind w:left="0" w:firstLine="640"/>
        <w:jc w:val="center"/>
        <w:rPr>
          <w:rFonts w:eastAsia="黑体"/>
          <w:color w:val="auto"/>
          <w:sz w:val="32"/>
          <w:szCs w:val="32"/>
          <w:highlight w:val="none"/>
        </w:rPr>
      </w:pPr>
      <w:bookmarkStart w:id="306" w:name="_Ref20478390"/>
      <w:r>
        <w:rPr>
          <w:rFonts w:eastAsia="黑体"/>
          <w:color w:val="auto"/>
          <w:sz w:val="32"/>
          <w:szCs w:val="32"/>
          <w:highlight w:val="none"/>
        </w:rPr>
        <w:t>基本规定</w:t>
      </w:r>
      <w:bookmarkEnd w:id="306"/>
    </w:p>
    <w:p w14:paraId="27D28170">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3.1　一般规定</w:t>
      </w:r>
    </w:p>
    <w:p w14:paraId="51BC6A2C">
      <w:pPr>
        <w:ind w:firstLine="0" w:firstLineChars="0"/>
        <w:jc w:val="left"/>
        <w:rPr>
          <w:color w:val="auto"/>
          <w:highlight w:val="none"/>
        </w:rPr>
      </w:pPr>
      <w:r>
        <w:rPr>
          <w:rFonts w:hint="eastAsia" w:ascii="宋体" w:hAnsi="宋体" w:eastAsia="宋体"/>
          <w:bCs/>
          <w:color w:val="auto"/>
          <w:szCs w:val="32"/>
          <w:highlight w:val="none"/>
        </w:rPr>
        <w:t>3.1.1</w:t>
      </w:r>
      <w:r>
        <w:rPr>
          <w:rFonts w:hint="eastAsia"/>
          <w:color w:val="auto"/>
          <w:highlight w:val="none"/>
        </w:rPr>
        <w:t>　在建筑工程全生命期内实现协同工作、信息共享，可最大程度地发挥BIM技术的作用，提高效率和效益。受限于目前BIM技术应用的阶段，有时候很难覆盖建筑工程全生命期，或者即使能够应用其投入产出比也不合理。此时，可根据工程实际情况和需要，在工程全生命期内的若干阶段(方案设</w:t>
      </w:r>
      <w:r>
        <w:rPr>
          <w:rStyle w:val="32"/>
          <w:rFonts w:hint="eastAsia"/>
          <w:color w:val="auto"/>
          <w:highlight w:val="none"/>
        </w:rPr>
        <w:t>计、</w:t>
      </w:r>
      <w:r>
        <w:rPr>
          <w:rStyle w:val="32"/>
          <w:color w:val="auto"/>
          <w:highlight w:val="none"/>
        </w:rPr>
        <w:t>初步设计</w:t>
      </w:r>
      <w:r>
        <w:rPr>
          <w:rStyle w:val="32"/>
          <w:rFonts w:hint="eastAsia"/>
          <w:color w:val="auto"/>
          <w:highlight w:val="none"/>
        </w:rPr>
        <w:t>、</w:t>
      </w:r>
      <w:r>
        <w:rPr>
          <w:rStyle w:val="32"/>
          <w:color w:val="auto"/>
          <w:highlight w:val="none"/>
        </w:rPr>
        <w:t>施工图设计</w:t>
      </w:r>
      <w:r>
        <w:rPr>
          <w:rStyle w:val="32"/>
          <w:rFonts w:hint="eastAsia"/>
          <w:color w:val="auto"/>
          <w:highlight w:val="none"/>
        </w:rPr>
        <w:t>、施工准备、施工实施、运维、审查、验收、拆除)或若干项任务中应用BIM技</w:t>
      </w:r>
      <w:r>
        <w:rPr>
          <w:rFonts w:hint="eastAsia"/>
          <w:color w:val="auto"/>
          <w:highlight w:val="none"/>
        </w:rPr>
        <w:t>术。本标准中关于模型的名称划分原则首先是根据项目所处的不同阶段以及不同特殊用途进行划分的，其次确保原则上不会和我国工程领域现有的专业名称发生冲突：</w:t>
      </w:r>
    </w:p>
    <w:p w14:paraId="4441F493">
      <w:pPr>
        <w:ind w:firstLine="420"/>
        <w:jc w:val="left"/>
        <w:rPr>
          <w:color w:val="auto"/>
          <w:highlight w:val="none"/>
        </w:rPr>
      </w:pPr>
      <w:r>
        <w:rPr>
          <w:rFonts w:hint="eastAsia" w:ascii="宋体" w:hAnsi="宋体" w:eastAsia="宋体"/>
          <w:bCs/>
          <w:color w:val="auto"/>
          <w:szCs w:val="32"/>
          <w:highlight w:val="none"/>
        </w:rPr>
        <w:t>1</w:t>
      </w:r>
      <w:r>
        <w:rPr>
          <w:rFonts w:hint="eastAsia"/>
          <w:color w:val="auto"/>
          <w:highlight w:val="none"/>
        </w:rPr>
        <w:t>　方案设计模型、初步设计模型、施工图设计模型、施工准备模型、施工实施模型、运维模型是按照阶段划分的；</w:t>
      </w:r>
    </w:p>
    <w:p w14:paraId="31507608">
      <w:pPr>
        <w:ind w:firstLine="420"/>
        <w:jc w:val="left"/>
        <w:rPr>
          <w:color w:val="auto"/>
          <w:highlight w:val="none"/>
        </w:rPr>
      </w:pPr>
      <w:r>
        <w:rPr>
          <w:rFonts w:hint="eastAsia" w:ascii="宋体" w:hAnsi="宋体" w:eastAsia="宋体"/>
          <w:bCs/>
          <w:color w:val="auto"/>
          <w:szCs w:val="32"/>
          <w:highlight w:val="none"/>
        </w:rPr>
        <w:t>2</w:t>
      </w:r>
      <w:r>
        <w:rPr>
          <w:rFonts w:hint="eastAsia"/>
          <w:color w:val="auto"/>
          <w:highlight w:val="none"/>
        </w:rPr>
        <w:t>　场地规划模型、性能分析模型、设计方案比选模型、方案效果展示模型等是按照特殊用途划分的。部分BIM技术基本应用不仅可以在单一阶段实施，也可在其他阶段或全生命期实施。</w:t>
      </w:r>
    </w:p>
    <w:p w14:paraId="76CCE772">
      <w:pPr>
        <w:ind w:firstLine="420" w:firstLineChars="0"/>
        <w:jc w:val="left"/>
        <w:rPr>
          <w:rFonts w:ascii="宋体" w:hAnsi="宋体" w:eastAsia="宋体"/>
          <w:bCs/>
          <w:color w:val="auto"/>
          <w:szCs w:val="32"/>
          <w:highlight w:val="none"/>
        </w:rPr>
      </w:pPr>
      <w:r>
        <w:rPr>
          <w:rFonts w:hint="eastAsia" w:ascii="宋体" w:hAnsi="宋体" w:eastAsia="宋体"/>
          <w:bCs/>
          <w:color w:val="auto"/>
          <w:szCs w:val="32"/>
          <w:highlight w:val="none"/>
        </w:rPr>
        <w:t>3　全生命期的应用策划能够有效提高建筑工程B</w:t>
      </w:r>
      <w:r>
        <w:rPr>
          <w:rFonts w:ascii="宋体" w:hAnsi="宋体" w:eastAsia="宋体"/>
          <w:bCs/>
          <w:color w:val="auto"/>
          <w:szCs w:val="32"/>
          <w:highlight w:val="none"/>
        </w:rPr>
        <w:t>IM</w:t>
      </w:r>
      <w:r>
        <w:rPr>
          <w:rFonts w:hint="eastAsia" w:ascii="宋体" w:hAnsi="宋体" w:eastAsia="宋体"/>
          <w:bCs/>
          <w:color w:val="auto"/>
          <w:szCs w:val="32"/>
          <w:highlight w:val="none"/>
        </w:rPr>
        <w:t>技术应用的效率，避免各阶段</w:t>
      </w:r>
      <w:r>
        <w:rPr>
          <w:rFonts w:ascii="宋体" w:hAnsi="宋体" w:eastAsia="宋体"/>
          <w:bCs/>
          <w:color w:val="auto"/>
          <w:szCs w:val="32"/>
          <w:highlight w:val="none"/>
        </w:rPr>
        <w:t>BIM</w:t>
      </w:r>
      <w:r>
        <w:rPr>
          <w:rFonts w:hint="eastAsia" w:ascii="宋体" w:hAnsi="宋体" w:eastAsia="宋体"/>
          <w:bCs/>
          <w:color w:val="auto"/>
          <w:szCs w:val="32"/>
          <w:highlight w:val="none"/>
        </w:rPr>
        <w:t>应用实施和信息传递的割裂。合格的B</w:t>
      </w:r>
      <w:r>
        <w:rPr>
          <w:rFonts w:ascii="宋体" w:hAnsi="宋体" w:eastAsia="宋体"/>
          <w:bCs/>
          <w:color w:val="auto"/>
          <w:szCs w:val="32"/>
          <w:highlight w:val="none"/>
        </w:rPr>
        <w:t>IM</w:t>
      </w:r>
      <w:r>
        <w:rPr>
          <w:rFonts w:hint="eastAsia" w:ascii="宋体" w:hAnsi="宋体" w:eastAsia="宋体"/>
          <w:bCs/>
          <w:color w:val="auto"/>
          <w:szCs w:val="32"/>
          <w:highlight w:val="none"/>
        </w:rPr>
        <w:t>应用策划一般需要包括应用范围、应用目标、项目组织和实施流程、各应用点实施方案、验收标准，并需要规划标准体系、明确各参与方的职责和任务等，具体内容参见现行山西省工程建设地方标准《建筑信息模型应用统一标准》</w:t>
      </w:r>
      <w:r>
        <w:rPr>
          <w:rFonts w:ascii="宋体" w:hAnsi="宋体" w:eastAsia="宋体"/>
          <w:bCs/>
          <w:color w:val="auto"/>
          <w:szCs w:val="32"/>
          <w:highlight w:val="none"/>
        </w:rPr>
        <w:t xml:space="preserve">DBJ04/T </w:t>
      </w:r>
      <w:r>
        <w:rPr>
          <w:rFonts w:hint="eastAsia" w:ascii="宋体" w:hAnsi="宋体" w:eastAsia="宋体"/>
          <w:bCs/>
          <w:color w:val="auto"/>
          <w:szCs w:val="32"/>
          <w:highlight w:val="none"/>
        </w:rPr>
        <w:t>380的相关规定。BIM应用策划需要由参与主体进行具体实施，表一对参与各方的工作界面进行了划分。</w:t>
      </w:r>
    </w:p>
    <w:p w14:paraId="2DD7F8C0">
      <w:pPr>
        <w:ind w:firstLine="360"/>
        <w:jc w:val="center"/>
        <w:rPr>
          <w:color w:val="auto"/>
          <w:sz w:val="18"/>
          <w:szCs w:val="18"/>
          <w:highlight w:val="none"/>
          <w:lang w:val="en-AU"/>
        </w:rPr>
      </w:pPr>
      <w:r>
        <w:rPr>
          <w:rFonts w:hint="eastAsia"/>
          <w:color w:val="auto"/>
          <w:sz w:val="18"/>
          <w:szCs w:val="18"/>
          <w:highlight w:val="none"/>
          <w:lang w:val="en-AU"/>
        </w:rPr>
        <w:t>表</w:t>
      </w:r>
      <w:r>
        <w:rPr>
          <w:rFonts w:hint="eastAsia"/>
          <w:color w:val="auto"/>
          <w:sz w:val="18"/>
          <w:szCs w:val="18"/>
          <w:highlight w:val="none"/>
        </w:rPr>
        <w:t>一</w:t>
      </w:r>
      <w:r>
        <w:rPr>
          <w:rFonts w:hint="eastAsia"/>
          <w:color w:val="auto"/>
          <w:sz w:val="18"/>
          <w:szCs w:val="18"/>
          <w:highlight w:val="none"/>
          <w:lang w:val="en-AU"/>
        </w:rPr>
        <w:t>　工作界面划分</w:t>
      </w:r>
    </w:p>
    <w:tbl>
      <w:tblPr>
        <w:tblStyle w:val="15"/>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811"/>
      </w:tblGrid>
      <w:tr w14:paraId="685A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28" w:type="dxa"/>
            <w:shd w:val="clear" w:color="auto" w:fill="auto"/>
          </w:tcPr>
          <w:p w14:paraId="516EACCC">
            <w:pPr>
              <w:pStyle w:val="21"/>
              <w:ind w:firstLine="0" w:firstLineChars="0"/>
              <w:jc w:val="center"/>
              <w:rPr>
                <w:color w:val="auto"/>
                <w:sz w:val="18"/>
                <w:szCs w:val="18"/>
                <w:highlight w:val="none"/>
              </w:rPr>
            </w:pPr>
            <w:r>
              <w:rPr>
                <w:color w:val="auto"/>
                <w:sz w:val="18"/>
                <w:szCs w:val="18"/>
                <w:highlight w:val="none"/>
              </w:rPr>
              <w:t>参与方</w:t>
            </w:r>
          </w:p>
        </w:tc>
        <w:tc>
          <w:tcPr>
            <w:tcW w:w="7811" w:type="dxa"/>
            <w:shd w:val="clear" w:color="auto" w:fill="auto"/>
          </w:tcPr>
          <w:p w14:paraId="1DE80027">
            <w:pPr>
              <w:pStyle w:val="21"/>
              <w:ind w:firstLine="0" w:firstLineChars="0"/>
              <w:jc w:val="center"/>
              <w:rPr>
                <w:color w:val="auto"/>
                <w:sz w:val="18"/>
                <w:szCs w:val="18"/>
                <w:highlight w:val="none"/>
              </w:rPr>
            </w:pPr>
            <w:r>
              <w:rPr>
                <w:rFonts w:hint="eastAsia"/>
                <w:color w:val="auto"/>
                <w:sz w:val="18"/>
                <w:szCs w:val="18"/>
                <w:highlight w:val="none"/>
              </w:rPr>
              <w:t>相应工作</w:t>
            </w:r>
            <w:r>
              <w:rPr>
                <w:color w:val="auto"/>
                <w:sz w:val="18"/>
                <w:szCs w:val="18"/>
                <w:highlight w:val="none"/>
              </w:rPr>
              <w:t>职责</w:t>
            </w:r>
          </w:p>
        </w:tc>
      </w:tr>
      <w:tr w14:paraId="62A1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28" w:type="dxa"/>
            <w:vAlign w:val="center"/>
          </w:tcPr>
          <w:p w14:paraId="774CAC59">
            <w:pPr>
              <w:pStyle w:val="21"/>
              <w:ind w:firstLine="0" w:firstLineChars="0"/>
              <w:jc w:val="center"/>
              <w:rPr>
                <w:color w:val="auto"/>
                <w:sz w:val="18"/>
                <w:szCs w:val="18"/>
                <w:highlight w:val="none"/>
              </w:rPr>
            </w:pPr>
            <w:r>
              <w:rPr>
                <w:color w:val="auto"/>
                <w:sz w:val="18"/>
                <w:szCs w:val="18"/>
                <w:highlight w:val="none"/>
              </w:rPr>
              <w:t>业主方</w:t>
            </w:r>
          </w:p>
        </w:tc>
        <w:tc>
          <w:tcPr>
            <w:tcW w:w="7811" w:type="dxa"/>
          </w:tcPr>
          <w:p w14:paraId="537CCCD7">
            <w:pPr>
              <w:pStyle w:val="21"/>
              <w:ind w:firstLine="0" w:firstLineChars="0"/>
              <w:rPr>
                <w:color w:val="auto"/>
                <w:sz w:val="18"/>
                <w:szCs w:val="18"/>
                <w:highlight w:val="none"/>
              </w:rPr>
            </w:pPr>
            <w:r>
              <w:rPr>
                <w:color w:val="auto"/>
                <w:sz w:val="18"/>
                <w:szCs w:val="18"/>
                <w:highlight w:val="none"/>
              </w:rPr>
              <w:t>确认BIM服务方提交的BIM实施规划</w:t>
            </w:r>
            <w:r>
              <w:rPr>
                <w:rFonts w:hint="eastAsia"/>
                <w:color w:val="auto"/>
                <w:sz w:val="18"/>
                <w:szCs w:val="18"/>
                <w:highlight w:val="none"/>
              </w:rPr>
              <w:t>；</w:t>
            </w:r>
          </w:p>
          <w:p w14:paraId="75CB2D58">
            <w:pPr>
              <w:pStyle w:val="21"/>
              <w:ind w:firstLine="0" w:firstLineChars="0"/>
              <w:rPr>
                <w:color w:val="auto"/>
                <w:sz w:val="18"/>
                <w:szCs w:val="18"/>
                <w:highlight w:val="none"/>
              </w:rPr>
            </w:pPr>
            <w:r>
              <w:rPr>
                <w:rFonts w:hint="eastAsia"/>
                <w:color w:val="auto"/>
                <w:sz w:val="18"/>
                <w:szCs w:val="18"/>
                <w:highlight w:val="none"/>
              </w:rPr>
              <w:t>提供</w:t>
            </w:r>
            <w:r>
              <w:rPr>
                <w:color w:val="auto"/>
                <w:sz w:val="18"/>
                <w:szCs w:val="18"/>
                <w:highlight w:val="none"/>
              </w:rPr>
              <w:t>BIM服务方所需的BIM工作依据；</w:t>
            </w:r>
          </w:p>
          <w:p w14:paraId="0E976FA0">
            <w:pPr>
              <w:pStyle w:val="21"/>
              <w:ind w:firstLine="0" w:firstLineChars="0"/>
              <w:rPr>
                <w:color w:val="auto"/>
                <w:sz w:val="18"/>
                <w:szCs w:val="18"/>
                <w:highlight w:val="none"/>
              </w:rPr>
            </w:pPr>
            <w:r>
              <w:rPr>
                <w:color w:val="auto"/>
                <w:sz w:val="18"/>
                <w:szCs w:val="18"/>
                <w:highlight w:val="none"/>
              </w:rPr>
              <w:t>协调推进、监督执行、整体把控与协调</w:t>
            </w:r>
            <w:r>
              <w:rPr>
                <w:rFonts w:hint="eastAsia"/>
                <w:color w:val="auto"/>
                <w:sz w:val="18"/>
                <w:szCs w:val="18"/>
                <w:highlight w:val="none"/>
              </w:rPr>
              <w:t>。</w:t>
            </w:r>
          </w:p>
        </w:tc>
      </w:tr>
      <w:tr w14:paraId="2463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28" w:type="dxa"/>
            <w:vAlign w:val="center"/>
          </w:tcPr>
          <w:p w14:paraId="7B236F71">
            <w:pPr>
              <w:pStyle w:val="21"/>
              <w:ind w:firstLine="0" w:firstLineChars="0"/>
              <w:jc w:val="center"/>
              <w:rPr>
                <w:color w:val="auto"/>
                <w:sz w:val="18"/>
                <w:szCs w:val="18"/>
                <w:highlight w:val="none"/>
              </w:rPr>
            </w:pPr>
            <w:r>
              <w:rPr>
                <w:color w:val="auto"/>
                <w:sz w:val="18"/>
                <w:szCs w:val="18"/>
                <w:highlight w:val="none"/>
              </w:rPr>
              <w:t>BIM顾问</w:t>
            </w:r>
          </w:p>
        </w:tc>
        <w:tc>
          <w:tcPr>
            <w:tcW w:w="7811" w:type="dxa"/>
          </w:tcPr>
          <w:p w14:paraId="1977481A">
            <w:pPr>
              <w:pStyle w:val="21"/>
              <w:ind w:firstLine="0" w:firstLineChars="0"/>
              <w:rPr>
                <w:color w:val="auto"/>
                <w:sz w:val="18"/>
                <w:szCs w:val="18"/>
                <w:highlight w:val="none"/>
              </w:rPr>
            </w:pPr>
            <w:r>
              <w:rPr>
                <w:rFonts w:hint="eastAsia"/>
                <w:color w:val="auto"/>
                <w:sz w:val="18"/>
                <w:szCs w:val="18"/>
                <w:highlight w:val="none"/>
              </w:rPr>
              <w:t>协助业主对项目整体的</w:t>
            </w:r>
            <w:r>
              <w:rPr>
                <w:color w:val="auto"/>
                <w:sz w:val="18"/>
                <w:szCs w:val="18"/>
                <w:highlight w:val="none"/>
              </w:rPr>
              <w:t>BIM工作制定执行标准；</w:t>
            </w:r>
          </w:p>
          <w:p w14:paraId="1015BF47">
            <w:pPr>
              <w:pStyle w:val="21"/>
              <w:ind w:firstLine="0" w:firstLineChars="0"/>
              <w:rPr>
                <w:color w:val="auto"/>
                <w:sz w:val="18"/>
                <w:szCs w:val="18"/>
                <w:highlight w:val="none"/>
              </w:rPr>
            </w:pPr>
            <w:r>
              <w:rPr>
                <w:color w:val="auto"/>
                <w:sz w:val="18"/>
                <w:szCs w:val="18"/>
                <w:highlight w:val="none"/>
              </w:rPr>
              <w:t>对BIM服务方提交的BIM成果进行审核和分析</w:t>
            </w:r>
            <w:r>
              <w:rPr>
                <w:rFonts w:hint="eastAsia"/>
                <w:color w:val="auto"/>
                <w:sz w:val="18"/>
                <w:szCs w:val="18"/>
                <w:highlight w:val="none"/>
              </w:rPr>
              <w:t>；</w:t>
            </w:r>
          </w:p>
          <w:p w14:paraId="2D57B241">
            <w:pPr>
              <w:pStyle w:val="21"/>
              <w:ind w:firstLine="0" w:firstLineChars="0"/>
              <w:rPr>
                <w:color w:val="auto"/>
                <w:sz w:val="18"/>
                <w:szCs w:val="18"/>
                <w:highlight w:val="none"/>
              </w:rPr>
            </w:pPr>
            <w:r>
              <w:rPr>
                <w:color w:val="auto"/>
                <w:sz w:val="18"/>
                <w:szCs w:val="18"/>
                <w:highlight w:val="none"/>
              </w:rPr>
              <w:t>监督BIM服务方提交的BIM模型的调整和优化</w:t>
            </w:r>
            <w:r>
              <w:rPr>
                <w:rFonts w:hint="eastAsia"/>
                <w:color w:val="auto"/>
                <w:sz w:val="18"/>
                <w:szCs w:val="18"/>
                <w:highlight w:val="none"/>
              </w:rPr>
              <w:t>；</w:t>
            </w:r>
          </w:p>
          <w:p w14:paraId="185E2894">
            <w:pPr>
              <w:pStyle w:val="21"/>
              <w:ind w:firstLine="0" w:firstLineChars="0"/>
              <w:rPr>
                <w:color w:val="auto"/>
                <w:sz w:val="18"/>
                <w:szCs w:val="18"/>
                <w:highlight w:val="none"/>
              </w:rPr>
            </w:pPr>
            <w:r>
              <w:rPr>
                <w:color w:val="auto"/>
                <w:sz w:val="18"/>
                <w:szCs w:val="18"/>
                <w:highlight w:val="none"/>
              </w:rPr>
              <w:t>变更发生时，确认BIM服务方的BIM模型更新</w:t>
            </w:r>
            <w:r>
              <w:rPr>
                <w:rFonts w:hint="eastAsia"/>
                <w:color w:val="auto"/>
                <w:sz w:val="18"/>
                <w:szCs w:val="18"/>
                <w:highlight w:val="none"/>
              </w:rPr>
              <w:t>；</w:t>
            </w:r>
          </w:p>
          <w:p w14:paraId="6F477BBF">
            <w:pPr>
              <w:pStyle w:val="21"/>
              <w:ind w:firstLine="0" w:firstLineChars="0"/>
              <w:rPr>
                <w:color w:val="auto"/>
                <w:sz w:val="18"/>
                <w:szCs w:val="18"/>
                <w:highlight w:val="none"/>
              </w:rPr>
            </w:pPr>
            <w:r>
              <w:rPr>
                <w:color w:val="auto"/>
                <w:sz w:val="18"/>
                <w:szCs w:val="18"/>
                <w:highlight w:val="none"/>
              </w:rPr>
              <w:t>根据业主对运维阶段的要求提出BIM服务建议</w:t>
            </w:r>
            <w:r>
              <w:rPr>
                <w:rFonts w:hint="eastAsia"/>
                <w:color w:val="auto"/>
                <w:sz w:val="18"/>
                <w:szCs w:val="18"/>
                <w:highlight w:val="none"/>
              </w:rPr>
              <w:t>。</w:t>
            </w:r>
          </w:p>
        </w:tc>
      </w:tr>
      <w:tr w14:paraId="6C2A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8" w:type="dxa"/>
            <w:vAlign w:val="center"/>
          </w:tcPr>
          <w:p w14:paraId="0ECB1FA0">
            <w:pPr>
              <w:pStyle w:val="21"/>
              <w:ind w:firstLine="0" w:firstLineChars="0"/>
              <w:jc w:val="center"/>
              <w:rPr>
                <w:color w:val="auto"/>
                <w:sz w:val="18"/>
                <w:szCs w:val="18"/>
                <w:highlight w:val="none"/>
              </w:rPr>
            </w:pPr>
            <w:r>
              <w:rPr>
                <w:color w:val="auto"/>
                <w:sz w:val="18"/>
                <w:szCs w:val="18"/>
                <w:highlight w:val="none"/>
              </w:rPr>
              <w:t>设计单位</w:t>
            </w:r>
          </w:p>
        </w:tc>
        <w:tc>
          <w:tcPr>
            <w:tcW w:w="7811" w:type="dxa"/>
          </w:tcPr>
          <w:p w14:paraId="2188FBC4">
            <w:pPr>
              <w:pStyle w:val="21"/>
              <w:ind w:firstLine="0" w:firstLineChars="0"/>
              <w:rPr>
                <w:color w:val="auto"/>
                <w:sz w:val="18"/>
                <w:szCs w:val="18"/>
                <w:highlight w:val="none"/>
              </w:rPr>
            </w:pPr>
            <w:r>
              <w:rPr>
                <w:color w:val="auto"/>
                <w:sz w:val="18"/>
                <w:szCs w:val="18"/>
                <w:highlight w:val="none"/>
              </w:rPr>
              <w:t>按照</w:t>
            </w:r>
            <w:r>
              <w:rPr>
                <w:rFonts w:hint="eastAsia"/>
                <w:color w:val="auto"/>
                <w:sz w:val="18"/>
                <w:szCs w:val="18"/>
                <w:highlight w:val="none"/>
              </w:rPr>
              <w:t>业主</w:t>
            </w:r>
            <w:r>
              <w:rPr>
                <w:color w:val="auto"/>
                <w:sz w:val="18"/>
                <w:szCs w:val="18"/>
                <w:highlight w:val="none"/>
              </w:rPr>
              <w:t>要求定期提供设计成果</w:t>
            </w:r>
            <w:r>
              <w:rPr>
                <w:rFonts w:hint="eastAsia"/>
                <w:color w:val="auto"/>
                <w:sz w:val="18"/>
                <w:szCs w:val="18"/>
                <w:highlight w:val="none"/>
              </w:rPr>
              <w:t>；</w:t>
            </w:r>
          </w:p>
          <w:p w14:paraId="1F2F625A">
            <w:pPr>
              <w:pStyle w:val="21"/>
              <w:ind w:firstLine="0" w:firstLineChars="0"/>
              <w:rPr>
                <w:color w:val="auto"/>
                <w:sz w:val="18"/>
                <w:szCs w:val="18"/>
                <w:highlight w:val="none"/>
              </w:rPr>
            </w:pPr>
            <w:r>
              <w:rPr>
                <w:color w:val="auto"/>
                <w:sz w:val="18"/>
                <w:szCs w:val="18"/>
                <w:highlight w:val="none"/>
              </w:rPr>
              <w:t>实施BIM技术在设计阶段的应用</w:t>
            </w:r>
            <w:r>
              <w:rPr>
                <w:rFonts w:hint="eastAsia"/>
                <w:color w:val="auto"/>
                <w:sz w:val="18"/>
                <w:szCs w:val="18"/>
                <w:highlight w:val="none"/>
              </w:rPr>
              <w:t>；</w:t>
            </w:r>
          </w:p>
          <w:p w14:paraId="77DCC97E">
            <w:pPr>
              <w:pStyle w:val="21"/>
              <w:ind w:firstLine="0" w:firstLineChars="0"/>
              <w:rPr>
                <w:color w:val="auto"/>
                <w:sz w:val="18"/>
                <w:szCs w:val="18"/>
                <w:highlight w:val="none"/>
              </w:rPr>
            </w:pPr>
            <w:r>
              <w:rPr>
                <w:rFonts w:hint="eastAsia"/>
                <w:color w:val="auto"/>
                <w:sz w:val="18"/>
                <w:szCs w:val="18"/>
                <w:highlight w:val="none"/>
              </w:rPr>
              <w:t>完成项目设计数据的收集和更新。</w:t>
            </w:r>
          </w:p>
        </w:tc>
      </w:tr>
      <w:tr w14:paraId="24C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8" w:type="dxa"/>
            <w:vAlign w:val="center"/>
          </w:tcPr>
          <w:p w14:paraId="45CC0C7B">
            <w:pPr>
              <w:pStyle w:val="21"/>
              <w:ind w:firstLine="0" w:firstLineChars="0"/>
              <w:jc w:val="center"/>
              <w:rPr>
                <w:color w:val="auto"/>
                <w:sz w:val="18"/>
                <w:szCs w:val="18"/>
                <w:highlight w:val="none"/>
              </w:rPr>
            </w:pPr>
            <w:r>
              <w:rPr>
                <w:color w:val="auto"/>
                <w:sz w:val="18"/>
                <w:szCs w:val="18"/>
                <w:highlight w:val="none"/>
              </w:rPr>
              <w:t>施工单位</w:t>
            </w:r>
          </w:p>
        </w:tc>
        <w:tc>
          <w:tcPr>
            <w:tcW w:w="7811" w:type="dxa"/>
          </w:tcPr>
          <w:p w14:paraId="40079C95">
            <w:pPr>
              <w:pStyle w:val="21"/>
              <w:ind w:firstLine="0" w:firstLineChars="0"/>
              <w:rPr>
                <w:color w:val="auto"/>
                <w:sz w:val="18"/>
                <w:szCs w:val="18"/>
                <w:highlight w:val="none"/>
              </w:rPr>
            </w:pPr>
            <w:r>
              <w:rPr>
                <w:rFonts w:hint="eastAsia"/>
                <w:color w:val="auto"/>
                <w:sz w:val="18"/>
                <w:szCs w:val="18"/>
                <w:highlight w:val="none"/>
              </w:rPr>
              <w:t>总包单位提交施工阶段</w:t>
            </w:r>
            <w:r>
              <w:rPr>
                <w:color w:val="auto"/>
                <w:sz w:val="18"/>
                <w:szCs w:val="18"/>
                <w:highlight w:val="none"/>
              </w:rPr>
              <w:t>BIM策划方案，制定此阶段的BIM工作计划，总控施工阶段的BIM应用工作开展；</w:t>
            </w:r>
          </w:p>
          <w:p w14:paraId="7F0EC80E">
            <w:pPr>
              <w:pStyle w:val="21"/>
              <w:ind w:firstLine="0" w:firstLineChars="0"/>
              <w:rPr>
                <w:color w:val="auto"/>
                <w:sz w:val="18"/>
                <w:szCs w:val="18"/>
                <w:highlight w:val="none"/>
              </w:rPr>
            </w:pPr>
            <w:r>
              <w:rPr>
                <w:rFonts w:hint="eastAsia"/>
                <w:color w:val="auto"/>
                <w:sz w:val="18"/>
                <w:szCs w:val="18"/>
                <w:highlight w:val="none"/>
              </w:rPr>
              <w:t>配合业主</w:t>
            </w:r>
            <w:r>
              <w:rPr>
                <w:color w:val="auto"/>
                <w:sz w:val="18"/>
                <w:szCs w:val="18"/>
                <w:highlight w:val="none"/>
              </w:rPr>
              <w:t>对施工图设计</w:t>
            </w:r>
            <w:r>
              <w:rPr>
                <w:rFonts w:hint="eastAsia"/>
                <w:color w:val="auto"/>
                <w:sz w:val="18"/>
                <w:szCs w:val="18"/>
                <w:highlight w:val="none"/>
              </w:rPr>
              <w:t>图纸</w:t>
            </w:r>
            <w:r>
              <w:rPr>
                <w:color w:val="auto"/>
                <w:sz w:val="18"/>
                <w:szCs w:val="18"/>
                <w:highlight w:val="none"/>
              </w:rPr>
              <w:t>/模型的质量进行必要的评估，提交问题梳理报表</w:t>
            </w:r>
            <w:r>
              <w:rPr>
                <w:rFonts w:hint="eastAsia"/>
                <w:color w:val="auto"/>
                <w:sz w:val="18"/>
                <w:szCs w:val="18"/>
                <w:highlight w:val="none"/>
              </w:rPr>
              <w:t>，</w:t>
            </w:r>
            <w:r>
              <w:rPr>
                <w:color w:val="auto"/>
                <w:sz w:val="18"/>
                <w:szCs w:val="18"/>
                <w:highlight w:val="none"/>
              </w:rPr>
              <w:t>接收施工图设计图纸/模型</w:t>
            </w:r>
            <w:r>
              <w:rPr>
                <w:rFonts w:hint="eastAsia"/>
                <w:color w:val="auto"/>
                <w:sz w:val="18"/>
                <w:szCs w:val="18"/>
                <w:highlight w:val="none"/>
              </w:rPr>
              <w:t>；</w:t>
            </w:r>
          </w:p>
          <w:p w14:paraId="751DCFAC">
            <w:pPr>
              <w:pStyle w:val="21"/>
              <w:ind w:firstLine="0" w:firstLineChars="0"/>
              <w:rPr>
                <w:color w:val="auto"/>
                <w:sz w:val="18"/>
                <w:szCs w:val="18"/>
                <w:highlight w:val="none"/>
              </w:rPr>
            </w:pPr>
            <w:r>
              <w:rPr>
                <w:color w:val="auto"/>
                <w:sz w:val="18"/>
                <w:szCs w:val="18"/>
                <w:highlight w:val="none"/>
              </w:rPr>
              <w:t>总包组织各家分包单位完成深化设计模型，并在深化设计过程中统筹和协调各家分包单位的BIM深化工作</w:t>
            </w:r>
            <w:r>
              <w:rPr>
                <w:rFonts w:hint="eastAsia"/>
                <w:color w:val="auto"/>
                <w:sz w:val="18"/>
                <w:szCs w:val="18"/>
                <w:highlight w:val="none"/>
              </w:rPr>
              <w:t>；</w:t>
            </w:r>
          </w:p>
          <w:p w14:paraId="13B4ECCD">
            <w:pPr>
              <w:pStyle w:val="21"/>
              <w:ind w:firstLine="0" w:firstLineChars="0"/>
              <w:rPr>
                <w:color w:val="auto"/>
                <w:sz w:val="18"/>
                <w:szCs w:val="18"/>
                <w:highlight w:val="none"/>
              </w:rPr>
            </w:pPr>
            <w:r>
              <w:rPr>
                <w:color w:val="auto"/>
                <w:sz w:val="18"/>
                <w:szCs w:val="18"/>
                <w:highlight w:val="none"/>
              </w:rPr>
              <w:t>在施工过程中</w:t>
            </w:r>
            <w:r>
              <w:rPr>
                <w:rFonts w:hint="eastAsia"/>
                <w:color w:val="auto"/>
                <w:sz w:val="18"/>
                <w:szCs w:val="18"/>
                <w:highlight w:val="none"/>
              </w:rPr>
              <w:t>，</w:t>
            </w:r>
            <w:r>
              <w:rPr>
                <w:color w:val="auto"/>
                <w:sz w:val="18"/>
                <w:szCs w:val="18"/>
                <w:highlight w:val="none"/>
              </w:rPr>
              <w:t>总包单位</w:t>
            </w:r>
            <w:r>
              <w:rPr>
                <w:rFonts w:hint="eastAsia"/>
                <w:color w:val="auto"/>
                <w:sz w:val="18"/>
                <w:szCs w:val="18"/>
                <w:highlight w:val="none"/>
              </w:rPr>
              <w:t>组织</w:t>
            </w:r>
            <w:r>
              <w:rPr>
                <w:color w:val="auto"/>
                <w:sz w:val="18"/>
                <w:szCs w:val="18"/>
                <w:highlight w:val="none"/>
              </w:rPr>
              <w:t>各家分包单位</w:t>
            </w:r>
            <w:r>
              <w:rPr>
                <w:rFonts w:hint="eastAsia"/>
                <w:color w:val="auto"/>
                <w:sz w:val="18"/>
                <w:szCs w:val="18"/>
                <w:highlight w:val="none"/>
              </w:rPr>
              <w:t>，</w:t>
            </w:r>
            <w:r>
              <w:rPr>
                <w:color w:val="auto"/>
                <w:sz w:val="18"/>
                <w:szCs w:val="18"/>
                <w:highlight w:val="none"/>
              </w:rPr>
              <w:t>根据设计变更单和技术</w:t>
            </w:r>
            <w:r>
              <w:rPr>
                <w:rFonts w:hint="eastAsia"/>
                <w:color w:val="auto"/>
                <w:sz w:val="18"/>
                <w:szCs w:val="18"/>
                <w:highlight w:val="none"/>
              </w:rPr>
              <w:t>核定单等变更资料</w:t>
            </w:r>
            <w:r>
              <w:rPr>
                <w:color w:val="auto"/>
                <w:sz w:val="18"/>
                <w:szCs w:val="18"/>
                <w:highlight w:val="none"/>
              </w:rPr>
              <w:t>及时更新BIM模型；</w:t>
            </w:r>
          </w:p>
          <w:p w14:paraId="1EED3CEE">
            <w:pPr>
              <w:pStyle w:val="21"/>
              <w:ind w:firstLine="0" w:firstLineChars="0"/>
              <w:rPr>
                <w:color w:val="auto"/>
                <w:sz w:val="18"/>
                <w:szCs w:val="18"/>
                <w:highlight w:val="none"/>
              </w:rPr>
            </w:pPr>
            <w:r>
              <w:rPr>
                <w:rFonts w:hint="eastAsia"/>
                <w:color w:val="auto"/>
                <w:sz w:val="18"/>
                <w:szCs w:val="18"/>
                <w:highlight w:val="none"/>
              </w:rPr>
              <w:t>总包单位主导施工方各家单位制作施工阶段的施工方案、施工计划</w:t>
            </w:r>
            <w:r>
              <w:rPr>
                <w:color w:val="auto"/>
                <w:sz w:val="18"/>
                <w:szCs w:val="18"/>
                <w:highlight w:val="none"/>
              </w:rPr>
              <w:t>4D模拟，以此为依据优化施工计划及方案；</w:t>
            </w:r>
          </w:p>
          <w:p w14:paraId="0E4742BE">
            <w:pPr>
              <w:pStyle w:val="21"/>
              <w:ind w:firstLine="0" w:firstLineChars="0"/>
              <w:rPr>
                <w:color w:val="auto"/>
                <w:sz w:val="18"/>
                <w:szCs w:val="18"/>
                <w:highlight w:val="none"/>
              </w:rPr>
            </w:pPr>
            <w:r>
              <w:rPr>
                <w:rFonts w:hint="eastAsia"/>
                <w:color w:val="auto"/>
                <w:sz w:val="18"/>
                <w:szCs w:val="18"/>
                <w:highlight w:val="none"/>
              </w:rPr>
              <w:t>总包单位组织各家分包对项目中主要材料开展基于</w:t>
            </w:r>
            <w:r>
              <w:rPr>
                <w:color w:val="auto"/>
                <w:sz w:val="18"/>
                <w:szCs w:val="18"/>
                <w:highlight w:val="none"/>
              </w:rPr>
              <w:t>BIM模型的工程量统计，辅助施工现场成本精细化管控；</w:t>
            </w:r>
          </w:p>
          <w:p w14:paraId="5ED8230D">
            <w:pPr>
              <w:pStyle w:val="21"/>
              <w:ind w:firstLine="0" w:firstLineChars="0"/>
              <w:rPr>
                <w:color w:val="auto"/>
                <w:sz w:val="18"/>
                <w:szCs w:val="18"/>
                <w:highlight w:val="none"/>
              </w:rPr>
            </w:pPr>
            <w:r>
              <w:rPr>
                <w:color w:val="auto"/>
                <w:sz w:val="18"/>
                <w:szCs w:val="18"/>
                <w:highlight w:val="none"/>
              </w:rPr>
              <w:t>总包单位组织各家分包单位进行施工阶段BIM模型信息收集和更新</w:t>
            </w:r>
            <w:r>
              <w:rPr>
                <w:rFonts w:hint="eastAsia"/>
                <w:color w:val="auto"/>
                <w:sz w:val="18"/>
                <w:szCs w:val="18"/>
                <w:highlight w:val="none"/>
              </w:rPr>
              <w:t>，</w:t>
            </w:r>
            <w:r>
              <w:rPr>
                <w:color w:val="auto"/>
                <w:sz w:val="18"/>
                <w:szCs w:val="18"/>
                <w:highlight w:val="none"/>
              </w:rPr>
              <w:t>确保BIM模型达到竣工交付深度</w:t>
            </w:r>
            <w:r>
              <w:rPr>
                <w:rFonts w:hint="eastAsia"/>
                <w:color w:val="auto"/>
                <w:sz w:val="18"/>
                <w:szCs w:val="18"/>
                <w:highlight w:val="none"/>
              </w:rPr>
              <w:t>。</w:t>
            </w:r>
          </w:p>
        </w:tc>
      </w:tr>
      <w:tr w14:paraId="656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28" w:type="dxa"/>
            <w:vAlign w:val="center"/>
          </w:tcPr>
          <w:p w14:paraId="4AD04067">
            <w:pPr>
              <w:pStyle w:val="21"/>
              <w:ind w:firstLine="0" w:firstLineChars="0"/>
              <w:jc w:val="center"/>
              <w:rPr>
                <w:color w:val="auto"/>
                <w:sz w:val="18"/>
                <w:szCs w:val="18"/>
                <w:highlight w:val="none"/>
              </w:rPr>
            </w:pPr>
            <w:r>
              <w:rPr>
                <w:color w:val="auto"/>
                <w:sz w:val="18"/>
                <w:szCs w:val="18"/>
                <w:highlight w:val="none"/>
              </w:rPr>
              <w:t>监理单位</w:t>
            </w:r>
          </w:p>
        </w:tc>
        <w:tc>
          <w:tcPr>
            <w:tcW w:w="7811" w:type="dxa"/>
          </w:tcPr>
          <w:p w14:paraId="324392C6">
            <w:pPr>
              <w:pStyle w:val="21"/>
              <w:ind w:firstLine="0" w:firstLineChars="0"/>
              <w:rPr>
                <w:color w:val="auto"/>
                <w:sz w:val="18"/>
                <w:szCs w:val="18"/>
                <w:highlight w:val="none"/>
              </w:rPr>
            </w:pPr>
            <w:r>
              <w:rPr>
                <w:color w:val="auto"/>
                <w:sz w:val="18"/>
                <w:szCs w:val="18"/>
                <w:highlight w:val="none"/>
              </w:rPr>
              <w:t>审核施工信息，督促施工方确保施工模型与现场的一致。</w:t>
            </w:r>
          </w:p>
        </w:tc>
      </w:tr>
      <w:tr w14:paraId="18BB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8" w:type="dxa"/>
            <w:vAlign w:val="center"/>
          </w:tcPr>
          <w:p w14:paraId="105D93D0">
            <w:pPr>
              <w:pStyle w:val="21"/>
              <w:ind w:firstLine="0" w:firstLineChars="0"/>
              <w:jc w:val="center"/>
              <w:rPr>
                <w:color w:val="auto"/>
                <w:sz w:val="18"/>
                <w:szCs w:val="18"/>
                <w:highlight w:val="none"/>
              </w:rPr>
            </w:pPr>
            <w:r>
              <w:rPr>
                <w:color w:val="auto"/>
                <w:sz w:val="18"/>
                <w:szCs w:val="18"/>
                <w:highlight w:val="none"/>
              </w:rPr>
              <w:t>其他单位</w:t>
            </w:r>
          </w:p>
        </w:tc>
        <w:tc>
          <w:tcPr>
            <w:tcW w:w="7811" w:type="dxa"/>
          </w:tcPr>
          <w:p w14:paraId="70FC43A3">
            <w:pPr>
              <w:pStyle w:val="21"/>
              <w:ind w:firstLine="0" w:firstLineChars="0"/>
              <w:rPr>
                <w:color w:val="auto"/>
                <w:sz w:val="18"/>
                <w:szCs w:val="18"/>
                <w:highlight w:val="none"/>
              </w:rPr>
            </w:pPr>
            <w:r>
              <w:rPr>
                <w:color w:val="auto"/>
                <w:sz w:val="18"/>
                <w:szCs w:val="18"/>
                <w:highlight w:val="none"/>
              </w:rPr>
              <w:t>按照</w:t>
            </w:r>
            <w:r>
              <w:rPr>
                <w:rFonts w:hint="eastAsia"/>
                <w:color w:val="auto"/>
                <w:sz w:val="18"/>
                <w:szCs w:val="18"/>
                <w:highlight w:val="none"/>
              </w:rPr>
              <w:t>业主</w:t>
            </w:r>
            <w:r>
              <w:rPr>
                <w:color w:val="auto"/>
                <w:sz w:val="18"/>
                <w:szCs w:val="18"/>
                <w:highlight w:val="none"/>
              </w:rPr>
              <w:t>要求</w:t>
            </w:r>
            <w:r>
              <w:rPr>
                <w:rFonts w:hint="eastAsia"/>
                <w:color w:val="auto"/>
                <w:sz w:val="18"/>
                <w:szCs w:val="18"/>
                <w:highlight w:val="none"/>
              </w:rPr>
              <w:t>，</w:t>
            </w:r>
            <w:r>
              <w:rPr>
                <w:color w:val="auto"/>
                <w:sz w:val="18"/>
                <w:szCs w:val="18"/>
                <w:highlight w:val="none"/>
              </w:rPr>
              <w:t>提交相关BIM工作所需要的数据资料。</w:t>
            </w:r>
          </w:p>
        </w:tc>
      </w:tr>
      <w:tr w14:paraId="0FC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8" w:type="dxa"/>
            <w:vAlign w:val="center"/>
          </w:tcPr>
          <w:p w14:paraId="7645B05F">
            <w:pPr>
              <w:pStyle w:val="21"/>
              <w:ind w:firstLine="0" w:firstLineChars="0"/>
              <w:jc w:val="center"/>
              <w:rPr>
                <w:color w:val="auto"/>
                <w:sz w:val="18"/>
                <w:szCs w:val="18"/>
                <w:highlight w:val="none"/>
              </w:rPr>
            </w:pPr>
            <w:r>
              <w:rPr>
                <w:rFonts w:hint="eastAsia"/>
                <w:color w:val="auto"/>
                <w:sz w:val="18"/>
                <w:szCs w:val="18"/>
                <w:highlight w:val="none"/>
              </w:rPr>
              <w:t>运营单位</w:t>
            </w:r>
          </w:p>
        </w:tc>
        <w:tc>
          <w:tcPr>
            <w:tcW w:w="7811" w:type="dxa"/>
          </w:tcPr>
          <w:p w14:paraId="6A8C230C">
            <w:pPr>
              <w:pStyle w:val="21"/>
              <w:ind w:firstLine="0" w:firstLineChars="0"/>
              <w:rPr>
                <w:color w:val="auto"/>
                <w:sz w:val="18"/>
                <w:szCs w:val="18"/>
                <w:highlight w:val="none"/>
              </w:rPr>
            </w:pPr>
            <w:r>
              <w:rPr>
                <w:rFonts w:hint="eastAsia"/>
                <w:color w:val="auto"/>
                <w:sz w:val="18"/>
                <w:szCs w:val="18"/>
                <w:highlight w:val="none"/>
              </w:rPr>
              <w:t>应用BIM模型进行设施设备的运维管理；</w:t>
            </w:r>
          </w:p>
          <w:p w14:paraId="1D296AFD">
            <w:pPr>
              <w:pStyle w:val="21"/>
              <w:ind w:firstLine="0" w:firstLineChars="0"/>
              <w:rPr>
                <w:color w:val="auto"/>
                <w:sz w:val="18"/>
                <w:szCs w:val="18"/>
                <w:highlight w:val="none"/>
              </w:rPr>
            </w:pPr>
            <w:r>
              <w:rPr>
                <w:rFonts w:hint="eastAsia"/>
                <w:color w:val="auto"/>
                <w:sz w:val="18"/>
                <w:szCs w:val="18"/>
                <w:highlight w:val="none"/>
              </w:rPr>
              <w:t>定期更新</w:t>
            </w:r>
            <w:r>
              <w:rPr>
                <w:color w:val="auto"/>
                <w:sz w:val="18"/>
                <w:szCs w:val="18"/>
                <w:highlight w:val="none"/>
              </w:rPr>
              <w:t>BIM</w:t>
            </w:r>
            <w:r>
              <w:rPr>
                <w:rFonts w:hint="eastAsia"/>
                <w:color w:val="auto"/>
                <w:sz w:val="18"/>
                <w:szCs w:val="18"/>
                <w:highlight w:val="none"/>
              </w:rPr>
              <w:t>模型中的数据，反映设施设备的实际状态和维护记录；</w:t>
            </w:r>
          </w:p>
          <w:p w14:paraId="58FA2767">
            <w:pPr>
              <w:pStyle w:val="21"/>
              <w:ind w:firstLine="0" w:firstLineChars="0"/>
              <w:rPr>
                <w:color w:val="auto"/>
                <w:sz w:val="18"/>
                <w:szCs w:val="18"/>
                <w:highlight w:val="none"/>
              </w:rPr>
            </w:pPr>
            <w:r>
              <w:rPr>
                <w:rFonts w:hint="eastAsia"/>
                <w:color w:val="auto"/>
                <w:sz w:val="18"/>
                <w:szCs w:val="18"/>
                <w:highlight w:val="none"/>
              </w:rPr>
              <w:t>结合BIM技术制定应急预案，确保突发情况下能够快速响应和处理。</w:t>
            </w:r>
          </w:p>
        </w:tc>
      </w:tr>
    </w:tbl>
    <w:p w14:paraId="4CAE8AE8">
      <w:pPr>
        <w:ind w:firstLine="0" w:firstLineChars="0"/>
        <w:jc w:val="left"/>
        <w:rPr>
          <w:color w:val="auto"/>
          <w:highlight w:val="none"/>
        </w:rPr>
      </w:pPr>
      <w:r>
        <w:rPr>
          <w:rFonts w:hint="eastAsia" w:ascii="宋体" w:hAnsi="宋体" w:eastAsia="宋体"/>
          <w:bCs/>
          <w:color w:val="auto"/>
          <w:szCs w:val="32"/>
          <w:highlight w:val="none"/>
        </w:rPr>
        <w:t>3.1.2</w:t>
      </w:r>
      <w:r>
        <w:rPr>
          <w:rFonts w:hint="eastAsia"/>
          <w:color w:val="auto"/>
          <w:highlight w:val="none"/>
        </w:rPr>
        <w:t>　项目团队应根据项目特点、项目建筑信息模型实施的目的、需求和实施成本、项目团队的能力、当前的技术水平、项目经济社会效益等多方面综合考虑策划最佳效果的应用方案。项目团队宜详细讨论每个技术应用点是否适合本项目的具体情况，包括每个应用点可能给项目带来的价值、实施的成本以及给项目带来的风险等，以确定该应用点是否适用于本项目，最后确定在该建设项目中实施应用哪些技术应用点。</w:t>
      </w:r>
    </w:p>
    <w:p w14:paraId="5F13B63A">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1　由于各阶段BIM技术应用的实施主体和应用对象不同，模型的范围、精细度、拆分规则、专业等都可能存在不同，其上附加的信息、资料也各不相同，本标准按照阶段划分了主要的六大类模型：方案设计模型、初步设计模型、施工图设计模型、施工准备模型、施工实施模型、运维模型，由于各个具体应用点实施的具体需求各有不同，往往会在该阶段的主要模型的基础上进行进一步的修改，并集成或关联所需的信息，形成各应用点相应的实施模型。</w:t>
      </w:r>
    </w:p>
    <w:p w14:paraId="1242C802">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2</w:t>
      </w:r>
      <w:r>
        <w:rPr>
          <w:rFonts w:ascii="宋体" w:hAnsi="宋体" w:eastAsia="宋体"/>
          <w:bCs/>
          <w:color w:val="auto"/>
          <w:szCs w:val="32"/>
          <w:highlight w:val="none"/>
        </w:rPr>
        <w:t>　各阶段模型应用点精细度的要求应当符合山西省工程建设地方标准《建筑信息模型设计标准》DBJ04/T 421的有关规定。</w:t>
      </w:r>
    </w:p>
    <w:p w14:paraId="26FFAEA6">
      <w:pPr>
        <w:ind w:firstLine="0" w:firstLineChars="0"/>
        <w:jc w:val="left"/>
        <w:rPr>
          <w:color w:val="auto"/>
          <w:highlight w:val="none"/>
        </w:rPr>
      </w:pPr>
      <w:r>
        <w:rPr>
          <w:rFonts w:hint="eastAsia" w:ascii="宋体" w:hAnsi="宋体" w:eastAsia="宋体"/>
          <w:bCs/>
          <w:color w:val="auto"/>
          <w:szCs w:val="32"/>
          <w:highlight w:val="none"/>
        </w:rPr>
        <w:t>3.1.3</w:t>
      </w:r>
      <w:r>
        <w:rPr>
          <w:rFonts w:hint="eastAsia"/>
          <w:color w:val="auto"/>
          <w:highlight w:val="none"/>
        </w:rPr>
        <w:t>　模型的应用不是独立于工程实际流程的，高效的B</w:t>
      </w:r>
      <w:r>
        <w:rPr>
          <w:color w:val="auto"/>
          <w:highlight w:val="none"/>
        </w:rPr>
        <w:t>IM</w:t>
      </w:r>
      <w:r>
        <w:rPr>
          <w:rFonts w:hint="eastAsia"/>
          <w:color w:val="auto"/>
          <w:highlight w:val="none"/>
        </w:rPr>
        <w:t>技术应当充分结合工程既有的业务流程，在多参建方或多专业的人员沟通交流中，利用模型的可视化、集成化等特性，直观地进行模型的集成展示、问题的有效沟通、效果的真实模拟等。</w:t>
      </w:r>
    </w:p>
    <w:p w14:paraId="39DBD971">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1</w:t>
      </w:r>
      <w:r>
        <w:rPr>
          <w:rFonts w:ascii="宋体" w:hAnsi="宋体" w:eastAsia="宋体"/>
          <w:bCs/>
          <w:color w:val="auto"/>
          <w:szCs w:val="32"/>
          <w:highlight w:val="none"/>
        </w:rPr>
        <w:t>　依据建筑模型不同的应用情况，项目的各参与方所需配置的软硬件会存在差异性，但不应低于模型创建和应用的基本需求。</w:t>
      </w:r>
    </w:p>
    <w:p w14:paraId="4231944D">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2</w:t>
      </w:r>
      <w:r>
        <w:rPr>
          <w:rFonts w:ascii="宋体" w:hAnsi="宋体" w:eastAsia="宋体"/>
          <w:bCs/>
          <w:color w:val="auto"/>
          <w:szCs w:val="32"/>
          <w:highlight w:val="none"/>
        </w:rPr>
        <w:t>　几何信息是模型固有的特性，例如空间位置信息和空间占位的尺寸信息。属性信息是人为添加的，真实存在的其他信息，包括但不限于材料、参数、工程信息等。</w:t>
      </w:r>
    </w:p>
    <w:p w14:paraId="0313160F">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3</w:t>
      </w:r>
      <w:r>
        <w:rPr>
          <w:rFonts w:ascii="宋体" w:hAnsi="宋体" w:eastAsia="宋体"/>
          <w:bCs/>
          <w:color w:val="auto"/>
          <w:szCs w:val="32"/>
          <w:highlight w:val="none"/>
        </w:rPr>
        <w:t>　当特殊情况不能使用统一的公制单位，可以在各相关方充分沟通的基础上选择其他统一的度量单位。</w:t>
      </w:r>
    </w:p>
    <w:p w14:paraId="0E41E6E3">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4</w:t>
      </w:r>
      <w:r>
        <w:rPr>
          <w:rFonts w:ascii="宋体" w:hAnsi="宋体" w:eastAsia="宋体"/>
          <w:bCs/>
          <w:color w:val="auto"/>
          <w:szCs w:val="32"/>
          <w:highlight w:val="none"/>
        </w:rPr>
        <w:t>　模型的表达应充分考虑电子化交付和彩色表达方式，以充分发挥BIM的优势和特点，十分重要的是能够通过色彩视觉迅速判断出建筑工程组成系统。对于工程参与方内部协同，本标准不做具体要求，例如在设计院内部，给水排水专业设计人员可按照企业自身的规定设置颜色。另外，合理的颜色设置有利于信息模型在运维和管理方面的应用。如与消防有关的系统或设施关系到人民的生命财产安全，也是设计及审查环节的关键，很多项目的实施中都规定采用红色系进行表达。</w:t>
      </w:r>
    </w:p>
    <w:p w14:paraId="1143571B">
      <w:pPr>
        <w:ind w:firstLine="420"/>
        <w:jc w:val="left"/>
        <w:rPr>
          <w:color w:val="auto"/>
          <w:highlight w:val="none"/>
        </w:rPr>
      </w:pPr>
      <w:r>
        <w:rPr>
          <w:rFonts w:hint="eastAsia"/>
          <w:color w:val="auto"/>
          <w:highlight w:val="none"/>
        </w:rPr>
        <w:t>各项目允许自行定义模型单元颜色，但是为了避免出现模型视觉识别混乱，将自定义的颜色写入各方认同的建筑信息模型执行计划，能够帮助模型使用者迅速掌握模型的表达意图。</w:t>
      </w:r>
    </w:p>
    <w:p w14:paraId="1A87955C">
      <w:pPr>
        <w:ind w:firstLine="0" w:firstLineChars="0"/>
        <w:jc w:val="left"/>
        <w:rPr>
          <w:color w:val="auto"/>
          <w:highlight w:val="none"/>
        </w:rPr>
      </w:pPr>
      <w:r>
        <w:rPr>
          <w:rFonts w:hint="eastAsia" w:ascii="宋体" w:hAnsi="宋体" w:eastAsia="宋体"/>
          <w:bCs/>
          <w:color w:val="auto"/>
          <w:szCs w:val="32"/>
          <w:highlight w:val="none"/>
        </w:rPr>
        <w:t>3.1.4</w:t>
      </w:r>
      <w:r>
        <w:rPr>
          <w:rFonts w:hint="eastAsia"/>
          <w:color w:val="auto"/>
          <w:highlight w:val="none"/>
        </w:rPr>
        <w:t>　BIM技术应用的初衷是提高建设和运维效率，在各阶段的模型应用有对模型这一基础数据的精细度要求，没有必要超前或者超过需求地追求模型的精细度，以避免不必要的资源浪费。</w:t>
      </w:r>
    </w:p>
    <w:p w14:paraId="5E799C2C">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1</w:t>
      </w:r>
      <w:r>
        <w:rPr>
          <w:rFonts w:ascii="宋体" w:hAnsi="宋体" w:eastAsia="宋体"/>
          <w:bCs/>
          <w:color w:val="auto"/>
          <w:szCs w:val="32"/>
          <w:highlight w:val="none"/>
        </w:rPr>
        <w:t>　数据交换是指项目在过程中各参与者之间进行的内容交换或交付,用以相互参考,以支持参与者之间的协同工作。模型数据应能在不同软件平台间进行传递，进行数据传递前应明确目标软件和硬件系统的要求和限制,以确保交换过程能保持数据的完整性。</w:t>
      </w:r>
    </w:p>
    <w:p w14:paraId="7A693533">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2</w:t>
      </w:r>
      <w:r>
        <w:rPr>
          <w:rFonts w:ascii="宋体" w:hAnsi="宋体" w:eastAsia="宋体"/>
          <w:bCs/>
          <w:color w:val="auto"/>
          <w:szCs w:val="32"/>
          <w:highlight w:val="none"/>
        </w:rPr>
        <w:t>　模型、子模型应按照一定的模型结构体系进行信息的组织和存储，否则会产生大量冗余的模型元素和信息，并可能导致模型数据的不一致等问题，难以支持建设工程全生命期各个阶段、各项任务和各相关方之间交换信息的一致性和信息共享。模型应用涉及多个子模型间的信息交换，只有保证所有获取信息的唯一性和一致性，才能确保模型数据的正确应用。</w:t>
      </w:r>
    </w:p>
    <w:p w14:paraId="312AD0FA">
      <w:pPr>
        <w:ind w:firstLine="420" w:firstLineChars="0"/>
        <w:jc w:val="left"/>
        <w:rPr>
          <w:rFonts w:hint="eastAsia" w:ascii="宋体" w:hAnsi="宋体" w:eastAsia="宋体"/>
          <w:bCs/>
          <w:color w:val="auto"/>
          <w:szCs w:val="32"/>
          <w:highlight w:val="none"/>
        </w:rPr>
      </w:pPr>
      <w:r>
        <w:rPr>
          <w:rFonts w:ascii="宋体" w:hAnsi="宋体" w:eastAsia="宋体"/>
          <w:bCs/>
          <w:color w:val="auto"/>
          <w:szCs w:val="32"/>
          <w:highlight w:val="none"/>
        </w:rPr>
        <w:t>不同来源同一模型数据的唯一性可有效减少数据冗余，是建设工程全生命期海量模型数据管理的重要条件。采用不同方式表达的模型数据的一致性可避免数据差异和逻辑矛盾，是建设工程全生命期各个阶段、各项专业任务、各相关参与方模型共享和数据互用的基本保证。</w:t>
      </w:r>
    </w:p>
    <w:p w14:paraId="529FCC94">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3</w:t>
      </w:r>
      <w:r>
        <w:rPr>
          <w:rFonts w:ascii="宋体" w:hAnsi="宋体" w:eastAsia="宋体"/>
          <w:bCs/>
          <w:color w:val="auto"/>
          <w:szCs w:val="32"/>
          <w:highlight w:val="none"/>
        </w:rPr>
        <w:t>　设施设备的建设运维信息是运维阶段设备管理、维养管理等应用的关键，也是充分发挥BIM技术信息集成能力的关键。这些信息往往需要设计单位、施工单位、设备供应商、运维单位共同提供和完善。</w:t>
      </w:r>
    </w:p>
    <w:p w14:paraId="577827B9">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3.2　协同要求</w:t>
      </w:r>
    </w:p>
    <w:p w14:paraId="3798DBDE">
      <w:pPr>
        <w:ind w:firstLine="0" w:firstLineChars="0"/>
        <w:jc w:val="left"/>
        <w:rPr>
          <w:color w:val="auto"/>
          <w:highlight w:val="none"/>
        </w:rPr>
      </w:pPr>
      <w:r>
        <w:rPr>
          <w:rFonts w:hint="eastAsia" w:ascii="宋体" w:hAnsi="宋体" w:eastAsia="宋体"/>
          <w:bCs/>
          <w:color w:val="auto"/>
          <w:szCs w:val="32"/>
          <w:highlight w:val="none"/>
        </w:rPr>
        <w:t>3.2.1</w:t>
      </w:r>
      <w:r>
        <w:rPr>
          <w:rFonts w:hint="eastAsia"/>
          <w:color w:val="auto"/>
          <w:highlight w:val="none"/>
        </w:rPr>
        <w:t>　要实现各阶段、各专业对模型和数据的全生命期或部分阶段的协同利用，实际上需要对模型和数据的格式、创建等都提出要求，这需要建设方在工程建设的前期进行统筹规划，如构建相应的标准体系等。</w:t>
      </w:r>
    </w:p>
    <w:p w14:paraId="7E37B08E">
      <w:pPr>
        <w:ind w:firstLine="0" w:firstLineChars="0"/>
        <w:jc w:val="left"/>
        <w:rPr>
          <w:color w:val="auto"/>
          <w:highlight w:val="none"/>
        </w:rPr>
      </w:pPr>
      <w:r>
        <w:rPr>
          <w:rFonts w:hint="eastAsia" w:ascii="宋体" w:hAnsi="宋体" w:eastAsia="宋体"/>
          <w:bCs/>
          <w:color w:val="auto"/>
          <w:szCs w:val="32"/>
          <w:highlight w:val="none"/>
        </w:rPr>
        <w:t>3.2.2</w:t>
      </w:r>
      <w:r>
        <w:rPr>
          <w:rFonts w:hint="eastAsia"/>
          <w:color w:val="auto"/>
          <w:highlight w:val="none"/>
        </w:rPr>
        <w:t>　模型包括几何信息和属性信息，关联资料根据其对象的不同可分为设备级的关联资料、区域级的关联资料等，例如设备使用手册、维保手册、合格证明等属于设备级的关联资料，工程报批文件、验收文件等则属于区域级的关联资料。</w:t>
      </w:r>
    </w:p>
    <w:p w14:paraId="397D40C8">
      <w:pPr>
        <w:ind w:firstLine="0" w:firstLineChars="0"/>
        <w:jc w:val="left"/>
        <w:rPr>
          <w:rFonts w:eastAsia="宋体"/>
          <w:color w:val="auto"/>
          <w:highlight w:val="none"/>
        </w:rPr>
      </w:pPr>
      <w:r>
        <w:rPr>
          <w:rFonts w:hint="eastAsia" w:ascii="宋体" w:hAnsi="宋体" w:eastAsia="宋体"/>
          <w:bCs/>
          <w:color w:val="auto"/>
          <w:szCs w:val="32"/>
          <w:highlight w:val="none"/>
        </w:rPr>
        <w:t>3.2.3</w:t>
      </w:r>
      <w:r>
        <w:rPr>
          <w:rFonts w:hint="eastAsia"/>
          <w:color w:val="auto"/>
          <w:highlight w:val="none"/>
        </w:rPr>
        <w:t>　模型数据互用协议应结合项目需求及模型创建、使用、管理的要求进行，以保障BIM应用顺利进行，具体内容参见现行山西省工程建设地方标准《建筑信息模型设计标准》</w:t>
      </w:r>
      <w:r>
        <w:rPr>
          <w:rFonts w:hint="default" w:ascii="宋体" w:hAnsi="宋体" w:eastAsia="宋体"/>
          <w:bCs/>
          <w:color w:val="auto"/>
          <w:szCs w:val="32"/>
          <w:highlight w:val="none"/>
        </w:rPr>
        <w:t>DBJ04/T 421</w:t>
      </w:r>
      <w:r>
        <w:rPr>
          <w:color w:val="auto"/>
          <w:highlight w:val="none"/>
        </w:rPr>
        <w:t>的相关规定</w:t>
      </w:r>
      <w:r>
        <w:rPr>
          <w:rFonts w:hint="eastAsia"/>
          <w:color w:val="auto"/>
          <w:highlight w:val="none"/>
        </w:rPr>
        <w:t>。</w:t>
      </w:r>
    </w:p>
    <w:p w14:paraId="152B029D">
      <w:pPr>
        <w:ind w:firstLine="0" w:firstLineChars="0"/>
        <w:jc w:val="left"/>
        <w:rPr>
          <w:color w:val="auto"/>
          <w:highlight w:val="none"/>
        </w:rPr>
      </w:pPr>
      <w:r>
        <w:rPr>
          <w:rFonts w:hint="eastAsia" w:ascii="宋体" w:hAnsi="宋体" w:eastAsia="宋体"/>
          <w:bCs/>
          <w:color w:val="auto"/>
          <w:szCs w:val="32"/>
          <w:highlight w:val="none"/>
        </w:rPr>
        <w:t>3.2.4</w:t>
      </w:r>
      <w:r>
        <w:rPr>
          <w:rFonts w:hint="eastAsia"/>
          <w:color w:val="auto"/>
          <w:highlight w:val="none"/>
        </w:rPr>
        <w:t>　协同工作是BIM实施的管理基础,脱离协同的工作模式，BIM的数据价值和管理价值将无法合理体现。协同工作是实现多方、多专业、高效协作的方法。随着工作范围的扩大、工种角色的细化以及人员组成的复杂化，协同工作是减少问题发生、提高工作效率的有效途径。模型数据及应用成果是各模型应用点的数字化资产，需要在项目初期指定的协同工作策略中明确数字权利的归属问题。协同工作策略越具体，越能够帮助执行和操作层面掌握其规则和要求。创造协同工作的环境，树立相关人员的协同意识，对BIM技术应用的管理人员提出了比较高的要求。</w:t>
      </w:r>
    </w:p>
    <w:p w14:paraId="2E0FFF3A">
      <w:pPr>
        <w:ind w:firstLine="0" w:firstLineChars="0"/>
        <w:jc w:val="left"/>
        <w:rPr>
          <w:color w:val="auto"/>
          <w:highlight w:val="none"/>
        </w:rPr>
      </w:pPr>
      <w:r>
        <w:rPr>
          <w:rFonts w:hint="eastAsia" w:ascii="宋体" w:hAnsi="宋体" w:eastAsia="宋体"/>
          <w:bCs/>
          <w:color w:val="auto"/>
          <w:szCs w:val="32"/>
          <w:highlight w:val="none"/>
        </w:rPr>
        <w:t>3.2.5</w:t>
      </w:r>
      <w:r>
        <w:rPr>
          <w:rFonts w:hint="eastAsia"/>
          <w:color w:val="auto"/>
          <w:highlight w:val="none"/>
        </w:rPr>
        <w:t>　协同工作环境内的权限设置要充分考虑文件架构、用户角色、工作任务等，当文件架构、用户、任务发生变化时，权限也需要及时更改。有编辑权限文件的集合，被认为是各方的工作范围；划分权限工作范围时，一般需要尽量避免重叠；如果存在重叠部分，需要额外制定权限交互的规则。</w:t>
      </w:r>
    </w:p>
    <w:p w14:paraId="36BF24C5">
      <w:pPr>
        <w:ind w:firstLine="420"/>
        <w:rPr>
          <w:color w:val="auto"/>
          <w:highlight w:val="none"/>
        </w:rPr>
      </w:pPr>
      <w:r>
        <w:rPr>
          <w:color w:val="auto"/>
          <w:highlight w:val="none"/>
        </w:rPr>
        <w:br w:type="page"/>
      </w:r>
    </w:p>
    <w:p w14:paraId="5DF26518">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可行性研究阶段</w:t>
      </w:r>
    </w:p>
    <w:p w14:paraId="371D2728">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4.2　规划控制管理</w:t>
      </w:r>
    </w:p>
    <w:p w14:paraId="7473F069">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4.2.1</w:t>
      </w:r>
      <w:r>
        <w:rPr>
          <w:rFonts w:hint="eastAsia"/>
          <w:color w:val="auto"/>
          <w:highlight w:val="none"/>
        </w:rPr>
        <w:t>　</w:t>
      </w:r>
      <w:r>
        <w:rPr>
          <w:rFonts w:hint="eastAsia" w:ascii="宋体" w:hAnsi="宋体" w:eastAsia="宋体"/>
          <w:bCs/>
          <w:color w:val="auto"/>
          <w:szCs w:val="32"/>
          <w:highlight w:val="none"/>
        </w:rPr>
        <w:t>规划控制管理</w:t>
      </w:r>
      <w:r>
        <w:rPr>
          <w:rFonts w:hint="eastAsia"/>
          <w:color w:val="auto"/>
          <w:highlight w:val="none"/>
        </w:rPr>
        <w:t>的主要目的</w:t>
      </w:r>
      <w:r>
        <w:rPr>
          <w:rFonts w:hint="eastAsia" w:ascii="宋体" w:hAnsi="宋体" w:eastAsia="宋体"/>
          <w:bCs/>
          <w:color w:val="auto"/>
          <w:szCs w:val="32"/>
          <w:highlight w:val="none"/>
        </w:rPr>
        <w:t>是利用协管管理平台 集成市政地下空间方案设计模型，展现不同设计方案的特点，进行规划方案比选、评审，实现市政地下空间设计与城市规划协同。</w:t>
      </w:r>
    </w:p>
    <w:p w14:paraId="1EDAE5E8">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4.3　周边环境分析</w:t>
      </w:r>
    </w:p>
    <w:p w14:paraId="4EB2AF33">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4.3.</w:t>
      </w:r>
      <w:r>
        <w:rPr>
          <w:rFonts w:ascii="宋体" w:hAnsi="宋体" w:eastAsia="宋体"/>
          <w:bCs/>
          <w:color w:val="auto"/>
          <w:szCs w:val="32"/>
          <w:highlight w:val="none"/>
        </w:rPr>
        <w:t>1　</w:t>
      </w:r>
      <w:r>
        <w:rPr>
          <w:rFonts w:hint="eastAsia" w:ascii="宋体" w:hAnsi="宋体" w:eastAsia="宋体"/>
          <w:bCs/>
          <w:color w:val="auto"/>
          <w:szCs w:val="32"/>
          <w:highlight w:val="none"/>
        </w:rPr>
        <w:t>周边环境分析的主要目的是为市政地下空间位置、规模，合理布置出口、风亭及其他地面构筑物的位置分析提供三维环境模型，进行方案推敲。</w:t>
      </w:r>
    </w:p>
    <w:p w14:paraId="255E7CD1">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4.4　方案比选</w:t>
      </w:r>
    </w:p>
    <w:p w14:paraId="34E72290">
      <w:pPr>
        <w:spacing w:line="240" w:lineRule="auto"/>
        <w:ind w:firstLine="0" w:firstLineChars="0"/>
        <w:rPr>
          <w:rFonts w:eastAsia="黑体"/>
          <w:color w:val="auto"/>
          <w:sz w:val="32"/>
          <w:szCs w:val="32"/>
          <w:highlight w:val="none"/>
        </w:rPr>
      </w:pPr>
      <w:r>
        <w:rPr>
          <w:rFonts w:hint="eastAsia" w:ascii="宋体" w:hAnsi="宋体" w:eastAsia="宋体"/>
          <w:bCs/>
          <w:color w:val="auto"/>
          <w:szCs w:val="32"/>
          <w:highlight w:val="none"/>
        </w:rPr>
        <w:t>4.</w:t>
      </w:r>
      <w:r>
        <w:rPr>
          <w:rFonts w:hint="eastAsia" w:ascii="宋体" w:hAnsi="宋体" w:eastAsia="宋体"/>
          <w:bCs/>
          <w:color w:val="auto"/>
          <w:szCs w:val="32"/>
          <w:highlight w:val="none"/>
          <w:lang w:val="en-US" w:eastAsia="zh-CN"/>
        </w:rPr>
        <w:t>4</w:t>
      </w:r>
      <w:r>
        <w:rPr>
          <w:rFonts w:hint="eastAsia" w:ascii="宋体" w:hAnsi="宋体" w:eastAsia="宋体"/>
          <w:bCs/>
          <w:color w:val="auto"/>
          <w:szCs w:val="32"/>
          <w:highlight w:val="none"/>
        </w:rPr>
        <w:t>.</w:t>
      </w:r>
      <w:r>
        <w:rPr>
          <w:rFonts w:ascii="宋体" w:hAnsi="宋体" w:eastAsia="宋体"/>
          <w:bCs/>
          <w:color w:val="auto"/>
          <w:szCs w:val="32"/>
          <w:highlight w:val="none"/>
        </w:rPr>
        <w:t>1　</w:t>
      </w:r>
      <w:r>
        <w:rPr>
          <w:rFonts w:hint="eastAsia" w:ascii="宋体" w:hAnsi="宋体" w:eastAsia="宋体"/>
          <w:bCs/>
          <w:color w:val="auto"/>
          <w:szCs w:val="32"/>
          <w:highlight w:val="none"/>
        </w:rPr>
        <w:t>方案比选</w:t>
      </w:r>
      <w:r>
        <w:rPr>
          <w:rFonts w:hint="eastAsia"/>
          <w:color w:val="auto"/>
          <w:highlight w:val="none"/>
        </w:rPr>
        <w:t>的主要目的</w:t>
      </w:r>
      <w:r>
        <w:rPr>
          <w:rFonts w:hint="eastAsia" w:ascii="宋体" w:hAnsi="宋体" w:eastAsia="宋体"/>
          <w:bCs/>
          <w:color w:val="auto"/>
          <w:szCs w:val="32"/>
          <w:highlight w:val="none"/>
        </w:rPr>
        <w:t>是通过建立比选设计方案模型，对各方案的可行性、功能性、美观性等方面进行分析，形成相应的方案比选报告，选择最优设计方案。</w:t>
      </w:r>
      <w:r>
        <w:rPr>
          <w:rFonts w:hint="eastAsia" w:eastAsia="黑体"/>
          <w:color w:val="auto"/>
          <w:sz w:val="32"/>
          <w:szCs w:val="32"/>
          <w:highlight w:val="none"/>
        </w:rPr>
        <w:br w:type="page"/>
      </w:r>
    </w:p>
    <w:p w14:paraId="2225B07A">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初步设计阶段</w:t>
      </w:r>
    </w:p>
    <w:p w14:paraId="1AEFFAB6">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5.2　控制因素分析</w:t>
      </w:r>
    </w:p>
    <w:p w14:paraId="0371C90D">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5.2.1</w:t>
      </w:r>
      <w:r>
        <w:rPr>
          <w:rFonts w:ascii="宋体" w:hAnsi="宋体" w:eastAsia="宋体"/>
          <w:bCs/>
          <w:color w:val="auto"/>
          <w:szCs w:val="32"/>
          <w:highlight w:val="none"/>
        </w:rPr>
        <w:t>　</w:t>
      </w:r>
      <w:r>
        <w:rPr>
          <w:rFonts w:hint="eastAsia" w:ascii="宋体" w:hAnsi="宋体" w:eastAsia="宋体"/>
          <w:bCs/>
          <w:color w:val="auto"/>
          <w:szCs w:val="32"/>
          <w:highlight w:val="none"/>
        </w:rPr>
        <w:t>控制因素分析</w:t>
      </w:r>
      <w:r>
        <w:rPr>
          <w:rFonts w:hint="eastAsia"/>
          <w:color w:val="auto"/>
          <w:highlight w:val="none"/>
        </w:rPr>
        <w:t>的主要目的</w:t>
      </w:r>
      <w:r>
        <w:rPr>
          <w:rFonts w:hint="eastAsia" w:ascii="宋体" w:hAnsi="宋体" w:eastAsia="宋体"/>
          <w:bCs/>
          <w:color w:val="auto"/>
          <w:szCs w:val="32"/>
          <w:highlight w:val="none"/>
        </w:rPr>
        <w:t>是利用初步设计模型进行市政地下空间与周边环境的协调性检查及环境影响分析，形成控制因素报告及模拟视频，分析其对市政地下空间工程的制约程度。</w:t>
      </w:r>
    </w:p>
    <w:p w14:paraId="3F3A9C4A">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5.3　交通疏解模拟</w:t>
      </w:r>
    </w:p>
    <w:p w14:paraId="468A8EEF">
      <w:pPr>
        <w:spacing w:line="240" w:lineRule="auto"/>
        <w:ind w:firstLine="0" w:firstLineChars="0"/>
        <w:jc w:val="left"/>
        <w:rPr>
          <w:color w:val="auto"/>
          <w:highlight w:val="none"/>
        </w:rPr>
      </w:pPr>
      <w:r>
        <w:rPr>
          <w:rFonts w:ascii="宋体" w:hAnsi="宋体" w:eastAsia="宋体"/>
          <w:bCs/>
          <w:color w:val="auto"/>
          <w:szCs w:val="32"/>
          <w:highlight w:val="none"/>
        </w:rPr>
        <w:t>5.</w:t>
      </w:r>
      <w:r>
        <w:rPr>
          <w:rFonts w:hint="eastAsia" w:ascii="宋体" w:hAnsi="宋体" w:eastAsia="宋体"/>
          <w:bCs/>
          <w:color w:val="auto"/>
          <w:szCs w:val="32"/>
          <w:highlight w:val="none"/>
          <w:lang w:val="en-US" w:eastAsia="zh-CN"/>
        </w:rPr>
        <w:t>3</w:t>
      </w:r>
      <w:r>
        <w:rPr>
          <w:rFonts w:ascii="宋体" w:hAnsi="宋体" w:eastAsia="宋体"/>
          <w:bCs/>
          <w:color w:val="auto"/>
          <w:szCs w:val="32"/>
          <w:highlight w:val="none"/>
        </w:rPr>
        <w:t>.2　</w:t>
      </w:r>
      <w:r>
        <w:rPr>
          <w:rFonts w:hint="eastAsia" w:ascii="宋体" w:hAnsi="宋体" w:eastAsia="宋体"/>
          <w:bCs/>
          <w:color w:val="auto"/>
          <w:szCs w:val="32"/>
          <w:highlight w:val="none"/>
        </w:rPr>
        <w:t>交通疏解模拟的主要目的是基于建立好的模型，应用相应的</w:t>
      </w:r>
      <w:r>
        <w:rPr>
          <w:rFonts w:ascii="宋体" w:hAnsi="宋体" w:eastAsia="宋体"/>
          <w:bCs/>
          <w:color w:val="auto"/>
          <w:szCs w:val="32"/>
          <w:highlight w:val="none"/>
        </w:rPr>
        <w:t>BIM软件或导入相应的交通疏解模拟软件，通过模拟分析预测和评估项目实施过程中对周边交通的影响，以及确保施工期间和竣工后交通流的顺畅和安全。在传统设计中，由于二维图纸的局限性，很难直观的判断和制定交通疏解的方案，结合BIM技术的交通疏解模拟可以提高方案制定的精细化程度，也可制作出直观易懂的交通疏解模拟视频，便于更好地制定交通疏解方案。</w:t>
      </w:r>
    </w:p>
    <w:p w14:paraId="4C9A4EAD">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5.4　管线改迁模拟</w:t>
      </w:r>
    </w:p>
    <w:p w14:paraId="56C9133F">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5.</w:t>
      </w:r>
      <w:r>
        <w:rPr>
          <w:rFonts w:hint="eastAsia" w:ascii="宋体" w:hAnsi="宋体" w:eastAsia="宋体"/>
          <w:bCs/>
          <w:color w:val="auto"/>
          <w:szCs w:val="32"/>
          <w:highlight w:val="none"/>
          <w:lang w:val="en-US" w:eastAsia="zh-CN"/>
        </w:rPr>
        <w:t>4</w:t>
      </w:r>
      <w:r>
        <w:rPr>
          <w:rFonts w:ascii="宋体" w:hAnsi="宋体" w:eastAsia="宋体"/>
          <w:bCs/>
          <w:color w:val="auto"/>
          <w:szCs w:val="32"/>
          <w:highlight w:val="none"/>
        </w:rPr>
        <w:t>.1　</w:t>
      </w:r>
      <w:r>
        <w:rPr>
          <w:rFonts w:hint="eastAsia" w:ascii="宋体" w:hAnsi="宋体" w:eastAsia="宋体"/>
          <w:bCs/>
          <w:color w:val="auto"/>
          <w:szCs w:val="32"/>
          <w:highlight w:val="none"/>
        </w:rPr>
        <w:t>管线迁改模拟的主要目的是基于建立好的模型，结合现状地下管线、现状架空管线、地下障碍物探查成果报告，尽可能提前掌握地下和架空管线的位置、类型、规格等信息，以及可能存在的地下障碍物，如岩石、古遗址等。这些信息对于制定迁改方案和避免施工中的冲突至关重要。结合市政地下空间建筑信息模型，对现状管线制定管线迁改方案，搭建管线迁改模型，能够提前为市政地下空间的建设规避现状管线的影响。</w:t>
      </w:r>
    </w:p>
    <w:p w14:paraId="622E3FC5">
      <w:pPr>
        <w:pStyle w:val="21"/>
        <w:spacing w:line="360" w:lineRule="auto"/>
        <w:ind w:firstLine="560"/>
        <w:jc w:val="center"/>
        <w:rPr>
          <w:rFonts w:hint="eastAsia" w:ascii="黑体" w:hAnsi="黑体" w:eastAsia="黑体"/>
          <w:color w:val="auto"/>
          <w:sz w:val="28"/>
          <w:szCs w:val="28"/>
          <w:highlight w:val="none"/>
        </w:rPr>
      </w:pPr>
      <w:bookmarkStart w:id="307" w:name="_Toc18538"/>
      <w:r>
        <w:rPr>
          <w:rFonts w:hint="eastAsia" w:ascii="黑体" w:hAnsi="黑体" w:eastAsia="黑体"/>
          <w:color w:val="auto"/>
          <w:sz w:val="28"/>
          <w:szCs w:val="28"/>
          <w:highlight w:val="none"/>
        </w:rPr>
        <w:t>5.5　设计方案深化</w:t>
      </w:r>
      <w:bookmarkEnd w:id="307"/>
    </w:p>
    <w:p w14:paraId="235151EB">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5</w:t>
      </w:r>
      <w:r>
        <w:rPr>
          <w:rFonts w:ascii="宋体" w:hAnsi="宋体" w:eastAsia="宋体"/>
          <w:bCs/>
          <w:color w:val="auto"/>
          <w:szCs w:val="32"/>
          <w:highlight w:val="none"/>
        </w:rPr>
        <w:t>.</w:t>
      </w:r>
      <w:r>
        <w:rPr>
          <w:rFonts w:hint="eastAsia" w:ascii="宋体" w:hAnsi="宋体" w:eastAsia="宋体"/>
          <w:bCs/>
          <w:color w:val="auto"/>
          <w:szCs w:val="32"/>
          <w:highlight w:val="none"/>
          <w:lang w:val="en-US" w:eastAsia="zh-CN"/>
        </w:rPr>
        <w:t>5</w:t>
      </w:r>
      <w:r>
        <w:rPr>
          <w:rFonts w:ascii="宋体" w:hAnsi="宋体" w:eastAsia="宋体"/>
          <w:bCs/>
          <w:color w:val="auto"/>
          <w:szCs w:val="32"/>
          <w:highlight w:val="none"/>
        </w:rPr>
        <w:t>.1　</w:t>
      </w:r>
      <w:r>
        <w:rPr>
          <w:rFonts w:hint="eastAsia" w:ascii="宋体" w:hAnsi="宋体" w:eastAsia="宋体"/>
          <w:bCs/>
          <w:color w:val="auto"/>
          <w:szCs w:val="32"/>
          <w:highlight w:val="none"/>
        </w:rPr>
        <w:t>设计方案深化的主要目的在方案模型的基础进一步细化三维模型，形成初步设计模型，并对市政地下空间的布局、结构、通风、人员疏散、节能排放等进行模拟分析，以提高市政地下工程的性能、质量、安全和合理性。</w:t>
      </w:r>
    </w:p>
    <w:p w14:paraId="4911A19B">
      <w:pPr>
        <w:ind w:firstLine="0" w:firstLineChars="0"/>
        <w:rPr>
          <w:rFonts w:eastAsia="黑体"/>
          <w:color w:val="auto"/>
          <w:sz w:val="32"/>
          <w:szCs w:val="32"/>
          <w:highlight w:val="none"/>
        </w:rPr>
      </w:pPr>
      <w:bookmarkStart w:id="308" w:name="_Ref20478395"/>
      <w:r>
        <w:rPr>
          <w:rFonts w:hint="eastAsia" w:eastAsia="黑体"/>
          <w:color w:val="auto"/>
          <w:sz w:val="32"/>
          <w:szCs w:val="32"/>
          <w:highlight w:val="none"/>
        </w:rPr>
        <w:br w:type="page"/>
      </w:r>
    </w:p>
    <w:p w14:paraId="447199FD">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施工图设计阶段</w:t>
      </w:r>
    </w:p>
    <w:p w14:paraId="552D6137">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6.2　管线综合与碰撞检查</w:t>
      </w:r>
    </w:p>
    <w:p w14:paraId="48F760CF">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6.2.1　</w:t>
      </w:r>
      <w:r>
        <w:rPr>
          <w:rFonts w:hint="eastAsia" w:ascii="宋体" w:hAnsi="宋体" w:eastAsia="宋体"/>
          <w:bCs/>
          <w:color w:val="auto"/>
          <w:szCs w:val="32"/>
          <w:highlight w:val="none"/>
        </w:rPr>
        <w:t>管线综合与碰撞检查的主要目的是基于建立好的模型，应用相应的软件对市政地下空间建筑信息模型内建筑、结构、机电专业内部及专业间进行检查，并结合管线综合与碰撞检查技术要求，对碰撞进行分类判断，通过检查提升设计的精细化程度、优化设备布置和空间利用、尽可能避免产生后期工期延误及返工的现象。</w:t>
      </w:r>
    </w:p>
    <w:p w14:paraId="5549B94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6.2.3　</w:t>
      </w:r>
      <w:r>
        <w:rPr>
          <w:rFonts w:hint="eastAsia" w:ascii="宋体" w:hAnsi="宋体" w:eastAsia="宋体"/>
          <w:bCs/>
          <w:color w:val="auto"/>
          <w:szCs w:val="32"/>
          <w:highlight w:val="none"/>
        </w:rPr>
        <w:t>基于施工图设计模型进行管线综合与碰撞检查出具的报告，包含硬碰撞（实体与实体间交叉碰撞）及软碰撞（实体间间距和空间无法满足设计规范或施工要求）的位置、原因及处理建议，可依据管线综合与碰撞检查报告对施工图设计模型进行调整、完善和优化。</w:t>
      </w:r>
    </w:p>
    <w:p w14:paraId="08555E44">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6.3　净空检查</w:t>
      </w:r>
    </w:p>
    <w:p w14:paraId="4E0E142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6.3.1　</w:t>
      </w:r>
      <w:r>
        <w:rPr>
          <w:rFonts w:hint="eastAsia" w:ascii="宋体" w:hAnsi="宋体" w:eastAsia="宋体"/>
          <w:bCs/>
          <w:color w:val="auto"/>
          <w:szCs w:val="32"/>
          <w:highlight w:val="none"/>
        </w:rPr>
        <w:t>净空检查的主要目的是基于建立好的模型，应用相应的软件对市政地下空间建筑信息模型内部空间净空高度进行检查，并结合净空控制标准要求，对各区域净高要求及空间内管线排布方案进行分析判断，提前发现并整改净空不满足净空要求、安装与维护要求、功能与美观需求的部位，进一步优化市政地下空间的内部构造、避免返工、提高设计质量。</w:t>
      </w:r>
    </w:p>
    <w:p w14:paraId="0D27A730">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6.3.3　</w:t>
      </w:r>
      <w:r>
        <w:rPr>
          <w:rFonts w:hint="eastAsia" w:ascii="宋体" w:hAnsi="宋体" w:eastAsia="宋体"/>
          <w:bCs/>
          <w:color w:val="auto"/>
          <w:szCs w:val="32"/>
          <w:highlight w:val="none"/>
        </w:rPr>
        <w:t>基于施工图设计模型进行净空检查出具的报告，包含净空不满足要求区域的位置、原因及处理建议，可依据净空检查报告对施工图设计模型进行调整、完善和优化。</w:t>
      </w:r>
    </w:p>
    <w:p w14:paraId="45458473">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6.4　预留预埋核查</w:t>
      </w:r>
    </w:p>
    <w:p w14:paraId="16F70978">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6.4.1　</w:t>
      </w:r>
      <w:r>
        <w:rPr>
          <w:rFonts w:hint="eastAsia" w:ascii="宋体" w:hAnsi="宋体" w:eastAsia="宋体"/>
          <w:bCs/>
          <w:color w:val="auto"/>
          <w:szCs w:val="32"/>
          <w:highlight w:val="none"/>
        </w:rPr>
        <w:t>预留预埋核查的主要目的是基于建立好的模型，应用相应的软件对市政地下空间建筑信息模型所提前预留及预埋的设备、部件进行位置、高度、合理性等设计内容的核查，核查过程需逐专业、逐项对预留预埋件进行检查，能够有效排查模型设计过程中的遗漏项，提前发现并修改市政地下空间建筑信息模型，提高模型的完整度、避免后期施工返工。</w:t>
      </w:r>
    </w:p>
    <w:p w14:paraId="1E33045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6.4.3　</w:t>
      </w:r>
      <w:r>
        <w:rPr>
          <w:rFonts w:hint="eastAsia" w:ascii="宋体" w:hAnsi="宋体" w:eastAsia="宋体"/>
          <w:bCs/>
          <w:color w:val="auto"/>
          <w:szCs w:val="32"/>
          <w:highlight w:val="none"/>
        </w:rPr>
        <w:t>基于施工图设计模型进行预留预埋核查出具的报告，包含预留预埋核查遗漏或不满足设计要求的预留预埋部位的位置、原因及处理建议，可依据预留预埋核查报告对施工图设计模型进行调整、完善和优化。</w:t>
      </w:r>
    </w:p>
    <w:p w14:paraId="2639EC26">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6.5　工程量复核</w:t>
      </w:r>
    </w:p>
    <w:p w14:paraId="17253B49">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 xml:space="preserve">6.5.1 </w:t>
      </w:r>
      <w:r>
        <w:rPr>
          <w:rFonts w:hint="eastAsia" w:ascii="宋体" w:hAnsi="宋体" w:eastAsia="宋体"/>
          <w:bCs/>
          <w:color w:val="auto"/>
          <w:szCs w:val="32"/>
          <w:highlight w:val="none"/>
        </w:rPr>
        <w:t>工程量复核的主要目的是基于建立好的模型，应用相应的软件对市政地下空间建筑信息模型工程量进行统计，并对照工程量计算规则，将统计结果与分部分项工程量清单进行对比，通过对比结果，能够校核模型或工程量清单是否存在工程量遗漏或过多情况，提前发现并整改，便于设备采购精准程度的提升。</w:t>
      </w:r>
    </w:p>
    <w:p w14:paraId="0A600BF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6.5.3基于施工图设计模型进行工程量复核出具的报告，包含工程量的数据对比、核查不合格原因及处理建议，可依据工程量复核报告对施工图设计模型进行调整、完善和优化。</w:t>
      </w:r>
    </w:p>
    <w:bookmarkEnd w:id="308"/>
    <w:p w14:paraId="3AF8AC6D">
      <w:pPr>
        <w:ind w:firstLine="640"/>
        <w:rPr>
          <w:rFonts w:eastAsia="黑体"/>
          <w:color w:val="auto"/>
          <w:sz w:val="32"/>
          <w:szCs w:val="32"/>
          <w:highlight w:val="none"/>
        </w:rPr>
      </w:pPr>
      <w:r>
        <w:rPr>
          <w:rFonts w:hint="eastAsia" w:eastAsia="黑体"/>
          <w:color w:val="auto"/>
          <w:sz w:val="32"/>
          <w:szCs w:val="32"/>
          <w:highlight w:val="none"/>
        </w:rPr>
        <w:br w:type="page"/>
      </w:r>
    </w:p>
    <w:p w14:paraId="70FBB6D3">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施工图深化阶段</w:t>
      </w:r>
    </w:p>
    <w:p w14:paraId="03A1A5B5">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7.2　装配式构件深化</w:t>
      </w:r>
    </w:p>
    <w:p w14:paraId="6B5EB75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7.2.1　装配式构件深化模型可以在施工图深化模型的基础上创建。根据装配式厂商产品参数、生产工艺、装配式加工界面及施工安装方案等信息建立装配式构件加工模型，编制装配式构件加工图和施工安装指导文件。</w:t>
      </w:r>
    </w:p>
    <w:p w14:paraId="2BAC735A">
      <w:pPr>
        <w:spacing w:line="240" w:lineRule="auto"/>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模型创建时施工单位、深化设计方、加工工厂应该进行会审，检查模型深度和深化设计中的错漏碰缺，根据项目实际情况互提要求和条件，确定加工范围和深度，重点核查特殊部位和复杂部位，并制定复杂部位的加工方案，选择加工方式、加工工艺和加工设备，施工方提出现场施工和安装可行性要求。</w:t>
      </w:r>
    </w:p>
    <w:p w14:paraId="11D20928">
      <w:pPr>
        <w:spacing w:line="240" w:lineRule="auto"/>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模型创建时应当进一步补充完整构件编码和生产过程管理编码，如厂商产品参数规格、材料信息、生产批次信息、构件属性、零构件图、质检信息、生产责任主体等信息，逐步丰富装配式构件加工模型信息。</w:t>
      </w:r>
    </w:p>
    <w:p w14:paraId="41B6059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7.2.3　装配式构件加工成果包括装配式构件装配模型，模型应正确反映构件的定位及装配顺序，能够达到虚拟演示装 配过程的效果；装配式构件加工图，加工图应体现构件编码，达到工厂化制造要求，符合相关行业 出图规范。</w:t>
      </w:r>
    </w:p>
    <w:p w14:paraId="7F02602D">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7.3　机电管线深化</w:t>
      </w:r>
    </w:p>
    <w:p w14:paraId="1930A020">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7.3.1　建筑装饰装修工程与土木建筑工程大不相同，建筑装饰装修工程是在一个指定的空间内展开设计、施工，从而满足工程要求。这就要求设计人员需要充分地利用室内空间，进行合理地设计、布局，并且还不能破坏建筑体结构。而在传统的装饰装修工程中，只能以二维平面来展示设计内容，这就导致一些立体层面无法清晰地展示出来，从而很容易导致施工人员产生误解，影响工程施工质量甚至是施工与设计不相符。而应用BIM模型技术后，可以通过该技术构建装饰装修模型，首先是模拟出所要施工的空间大小及整体结构，接下来设计人员便可以基于装饰装修模型进行设计，以立体层面的顺序开展施工，从而使设计工作能够更加直观。在完成对建筑室内的设计、布局后，还可以应用BIM模型技术将设计内容与建筑结构进行优化衔接，从而使设计内容更加准确。</w:t>
      </w:r>
    </w:p>
    <w:p w14:paraId="797BB62D">
      <w:pPr>
        <w:spacing w:line="240" w:lineRule="auto"/>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除此之外，在设计过程中还可以对装饰装修模型的质量及可靠性进行检测，如果存在纰漏，还可以应用BIM模型技术进行优化，确保模型能够应用于施工中。在建筑装饰装修设计过程中，BIM技术能够显著的提高原有的设计展示效果，通过三维立体图更为直观的研究分析设计中各个工艺环节的可落实性。</w:t>
      </w:r>
    </w:p>
    <w:p w14:paraId="1A08D24A">
      <w:pPr>
        <w:pStyle w:val="21"/>
        <w:spacing w:line="360" w:lineRule="auto"/>
        <w:ind w:firstLine="560"/>
        <w:jc w:val="center"/>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rPr>
        <w:t>7.5　设备</w:t>
      </w:r>
      <w:r>
        <w:rPr>
          <w:rFonts w:hint="eastAsia" w:ascii="黑体" w:hAnsi="黑体" w:eastAsia="黑体"/>
          <w:color w:val="auto"/>
          <w:sz w:val="28"/>
          <w:szCs w:val="28"/>
          <w:highlight w:val="none"/>
          <w:lang w:val="en-US" w:eastAsia="zh-CN"/>
        </w:rPr>
        <w:t>选型</w:t>
      </w:r>
    </w:p>
    <w:p w14:paraId="5F7810C3">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7.5.2　设备</w:t>
      </w:r>
      <w:r>
        <w:rPr>
          <w:rFonts w:hint="eastAsia" w:ascii="宋体" w:hAnsi="宋体" w:eastAsia="宋体"/>
          <w:bCs/>
          <w:color w:val="auto"/>
          <w:szCs w:val="32"/>
          <w:highlight w:val="none"/>
          <w:lang w:val="en-US" w:eastAsia="zh-CN"/>
        </w:rPr>
        <w:t>选型的范围在本标准中为大型机械设备</w:t>
      </w:r>
      <w:r>
        <w:rPr>
          <w:rFonts w:hint="eastAsia" w:ascii="宋体" w:hAnsi="宋体" w:eastAsia="宋体"/>
          <w:bCs/>
          <w:color w:val="auto"/>
          <w:szCs w:val="32"/>
          <w:highlight w:val="none"/>
        </w:rPr>
        <w:t>。</w:t>
      </w:r>
    </w:p>
    <w:p w14:paraId="55083AF9">
      <w:pPr>
        <w:spacing w:line="240" w:lineRule="auto"/>
        <w:ind w:firstLine="0" w:firstLineChars="0"/>
        <w:rPr>
          <w:rFonts w:hint="eastAsia" w:ascii="宋体" w:hAnsi="宋体" w:eastAsia="宋体"/>
          <w:bCs/>
          <w:color w:val="auto"/>
          <w:szCs w:val="32"/>
          <w:highlight w:val="none"/>
        </w:rPr>
      </w:pPr>
    </w:p>
    <w:p w14:paraId="39BAB29C">
      <w:pPr>
        <w:spacing w:line="240" w:lineRule="auto"/>
        <w:ind w:firstLine="0" w:firstLineChars="0"/>
        <w:rPr>
          <w:rFonts w:hint="eastAsia" w:ascii="宋体" w:hAnsi="宋体" w:eastAsia="宋体"/>
          <w:bCs/>
          <w:color w:val="auto"/>
          <w:szCs w:val="32"/>
          <w:highlight w:val="none"/>
        </w:rPr>
      </w:pPr>
    </w:p>
    <w:p w14:paraId="447C9B7D">
      <w:pPr>
        <w:spacing w:line="240" w:lineRule="auto"/>
        <w:ind w:firstLine="0" w:firstLineChars="0"/>
        <w:rPr>
          <w:rFonts w:hint="eastAsia" w:ascii="宋体" w:hAnsi="宋体" w:eastAsia="宋体"/>
          <w:bCs/>
          <w:color w:val="auto"/>
          <w:szCs w:val="32"/>
          <w:highlight w:val="none"/>
        </w:rPr>
        <w:sectPr>
          <w:pgSz w:w="11906" w:h="16838"/>
          <w:pgMar w:top="1418" w:right="1418" w:bottom="1361" w:left="1134" w:header="851" w:footer="992" w:gutter="0"/>
          <w:cols w:space="720" w:num="1"/>
          <w:docGrid w:type="lines" w:linePitch="312" w:charSpace="0"/>
        </w:sectPr>
      </w:pPr>
    </w:p>
    <w:p w14:paraId="2BBDC7EA">
      <w:pPr>
        <w:spacing w:line="480" w:lineRule="auto"/>
        <w:ind w:left="0"/>
        <w:jc w:val="center"/>
        <w:rPr>
          <w:rFonts w:eastAsia="黑体"/>
          <w:color w:val="auto"/>
          <w:sz w:val="32"/>
          <w:szCs w:val="32"/>
          <w:highlight w:val="none"/>
        </w:rPr>
      </w:pPr>
      <w:bookmarkStart w:id="309" w:name="_Ref20478401"/>
      <w:r>
        <w:rPr>
          <w:rFonts w:hint="eastAsia" w:eastAsia="黑体"/>
          <w:color w:val="auto"/>
          <w:sz w:val="32"/>
          <w:szCs w:val="32"/>
          <w:highlight w:val="none"/>
        </w:rPr>
        <w:br w:type="page"/>
      </w:r>
    </w:p>
    <w:p w14:paraId="41949A5B">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施工准备</w:t>
      </w:r>
      <w:r>
        <w:rPr>
          <w:rFonts w:eastAsia="黑体"/>
          <w:color w:val="auto"/>
          <w:sz w:val="32"/>
          <w:szCs w:val="32"/>
          <w:highlight w:val="none"/>
        </w:rPr>
        <w:t>阶段</w:t>
      </w:r>
      <w:bookmarkEnd w:id="309"/>
    </w:p>
    <w:p w14:paraId="7CF277A9">
      <w:pPr>
        <w:pStyle w:val="21"/>
        <w:spacing w:line="360" w:lineRule="auto"/>
        <w:ind w:firstLine="560"/>
        <w:jc w:val="center"/>
        <w:rPr>
          <w:rFonts w:hint="eastAsia" w:ascii="黑体" w:hAnsi="黑体" w:eastAsia="黑体"/>
          <w:color w:val="auto"/>
          <w:sz w:val="28"/>
          <w:szCs w:val="28"/>
          <w:highlight w:val="none"/>
        </w:rPr>
      </w:pPr>
      <w:bookmarkStart w:id="310" w:name="_Toc27782"/>
      <w:r>
        <w:rPr>
          <w:rFonts w:hint="eastAsia" w:ascii="黑体" w:hAnsi="黑体" w:eastAsia="黑体"/>
          <w:color w:val="auto"/>
          <w:sz w:val="28"/>
          <w:szCs w:val="28"/>
          <w:highlight w:val="none"/>
        </w:rPr>
        <w:t>8.1　</w:t>
      </w:r>
      <w:bookmarkStart w:id="311" w:name="_Toc24581"/>
      <w:r>
        <w:rPr>
          <w:rFonts w:hint="eastAsia" w:ascii="黑体" w:hAnsi="黑体" w:eastAsia="黑体"/>
          <w:color w:val="auto"/>
          <w:sz w:val="28"/>
          <w:szCs w:val="28"/>
          <w:highlight w:val="none"/>
        </w:rPr>
        <w:t>一般规定</w:t>
      </w:r>
      <w:bookmarkEnd w:id="310"/>
      <w:bookmarkEnd w:id="311"/>
    </w:p>
    <w:p w14:paraId="7CE59018">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8.1.1</w:t>
      </w:r>
      <w:r>
        <w:rPr>
          <w:rFonts w:ascii="宋体" w:hAnsi="宋体" w:eastAsia="宋体"/>
          <w:bCs/>
          <w:color w:val="auto"/>
          <w:szCs w:val="32"/>
          <w:highlight w:val="none"/>
        </w:rPr>
        <w:t>　</w:t>
      </w:r>
      <w:r>
        <w:rPr>
          <w:rFonts w:hint="eastAsia" w:ascii="宋体" w:hAnsi="宋体" w:eastAsia="宋体"/>
          <w:bCs/>
          <w:color w:val="auto"/>
          <w:szCs w:val="32"/>
          <w:highlight w:val="none"/>
        </w:rPr>
        <w:t>施工准备阶段模型应用策划方案中可以包含:工程概况、编制依据、BIM应用预期目标和效益、BIM应用内容和范围、人员组织架构和相应职责、BIM 应用流程、模型创建使用和管理要求、信息交换要求、模型质量控制和信息安全要求、进度计划、应用成果要求和软硬件基础条件等。</w:t>
      </w:r>
    </w:p>
    <w:p w14:paraId="0DD5D2BF">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8.1.2　本阶段根据合同技术规程、施工规范,结合施工工艺和现场管理需求,参照材料、设备的实际尺寸对原设计进行场地规划、方案优化、综合协调,使施工图设计阶段模型功能更全面,可执行性更强,以达到施工准备的需要。</w:t>
      </w:r>
    </w:p>
    <w:p w14:paraId="5F029DC3">
      <w:pPr>
        <w:pStyle w:val="21"/>
        <w:spacing w:line="360" w:lineRule="auto"/>
        <w:ind w:firstLine="560"/>
        <w:jc w:val="center"/>
        <w:rPr>
          <w:rFonts w:hint="eastAsia" w:ascii="黑体" w:hAnsi="黑体" w:eastAsia="黑体"/>
          <w:color w:val="auto"/>
          <w:sz w:val="28"/>
          <w:szCs w:val="28"/>
          <w:highlight w:val="none"/>
        </w:rPr>
      </w:pPr>
      <w:bookmarkStart w:id="312" w:name="_Toc32742"/>
      <w:r>
        <w:rPr>
          <w:rFonts w:hint="eastAsia" w:ascii="黑体" w:hAnsi="黑体" w:eastAsia="黑体"/>
          <w:color w:val="auto"/>
          <w:sz w:val="28"/>
          <w:szCs w:val="28"/>
          <w:highlight w:val="none"/>
        </w:rPr>
        <w:t>8.2</w:t>
      </w:r>
      <w:bookmarkStart w:id="313" w:name="_Toc27683"/>
      <w:r>
        <w:rPr>
          <w:rFonts w:hint="eastAsia" w:ascii="黑体" w:hAnsi="黑体" w:eastAsia="黑体"/>
          <w:color w:val="auto"/>
          <w:sz w:val="28"/>
          <w:szCs w:val="28"/>
          <w:highlight w:val="none"/>
        </w:rPr>
        <w:t>施工场地规划</w:t>
      </w:r>
      <w:bookmarkEnd w:id="312"/>
      <w:bookmarkEnd w:id="313"/>
    </w:p>
    <w:p w14:paraId="026B1A69">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8.2.1　施工场地规划需要考虑施工组织的要求,如工序安排、资源组织、现场平面布置、进度计划等要求,进行模拟分析、技术核算和优化设计。</w:t>
      </w:r>
    </w:p>
    <w:p w14:paraId="61E0D614">
      <w:pPr>
        <w:pStyle w:val="31"/>
        <w:ind w:firstLine="428"/>
        <w:rPr>
          <w:rStyle w:val="24"/>
          <w:rFonts w:hint="eastAsia" w:cs="Times New Roman"/>
          <w:color w:val="auto"/>
          <w:highlight w:val="none"/>
        </w:rPr>
      </w:pPr>
      <w:r>
        <w:rPr>
          <w:rStyle w:val="24"/>
          <w:rFonts w:hint="eastAsia" w:cs="Times New Roman"/>
          <w:color w:val="auto"/>
          <w:highlight w:val="none"/>
        </w:rPr>
        <w:t>施工场地规划模型的建立应结合工程特点、施工进度安排各施工阶段施工管理要求,合理划分场地各功能区域,实行分阶段布置和管理,把办公区、生产区和加工区分开布置;在满足施工的条件下,尽量节约施工用地;按专业划分施工用地时,尽量避免各专业用地交叉而造成的相互影响干扰;在满足施工生产需要和政府有关规定的前提下,按照美观、实用、节约的原则进行临时设施的规划建设;优化场内外交通组织,最大限度的减少场内运输,缩短运输距离,减少场内二次搬运;符合施工现场卫生及安全技术要求和消防要求。</w:t>
      </w:r>
    </w:p>
    <w:p w14:paraId="0981B65B">
      <w:pPr>
        <w:pStyle w:val="31"/>
        <w:ind w:firstLine="428"/>
        <w:rPr>
          <w:rStyle w:val="24"/>
          <w:rFonts w:hint="eastAsia" w:cs="Times New Roman"/>
          <w:color w:val="auto"/>
          <w:highlight w:val="none"/>
        </w:rPr>
      </w:pPr>
      <w:r>
        <w:rPr>
          <w:rStyle w:val="24"/>
          <w:rFonts w:hint="eastAsia" w:cs="Times New Roman"/>
          <w:color w:val="auto"/>
          <w:highlight w:val="none"/>
        </w:rPr>
        <w:t>结合施工现场的具体情况,考虑施工总平面图的要求和所采用的施工方法、施工进度,比选最优方案。一般应考虑施工用地面积、场地利用系数、场内运输量、临时设施面积、临时设施成本、各种管线用量等技术经济指标。</w:t>
      </w:r>
    </w:p>
    <w:p w14:paraId="503D798E">
      <w:pPr>
        <w:pStyle w:val="31"/>
        <w:ind w:firstLine="428"/>
        <w:rPr>
          <w:rStyle w:val="24"/>
          <w:rFonts w:hint="eastAsia" w:cs="Times New Roman"/>
          <w:color w:val="auto"/>
          <w:highlight w:val="none"/>
        </w:rPr>
      </w:pPr>
      <w:r>
        <w:rPr>
          <w:rStyle w:val="24"/>
          <w:rFonts w:hint="eastAsia" w:cs="Times New Roman"/>
          <w:color w:val="auto"/>
          <w:highlight w:val="none"/>
        </w:rPr>
        <w:t>在进行施工场地规划模拟过程中及时记录出现的工序安排、资源配置、平面布置等方面不合理的问题,形成施工场地规划分析报告。施工场地规划模拟后应根据模拟成果对工序安排、资源配置、平面布置等进行协调、优化,并将相关信息更新至施工场地规划模型。</w:t>
      </w:r>
    </w:p>
    <w:p w14:paraId="616D14C6">
      <w:pPr>
        <w:pStyle w:val="21"/>
        <w:spacing w:line="360" w:lineRule="auto"/>
        <w:ind w:firstLine="560"/>
        <w:jc w:val="center"/>
        <w:rPr>
          <w:rFonts w:hint="eastAsia" w:ascii="黑体" w:hAnsi="黑体" w:eastAsia="黑体"/>
          <w:color w:val="auto"/>
          <w:sz w:val="28"/>
          <w:szCs w:val="28"/>
          <w:highlight w:val="none"/>
        </w:rPr>
      </w:pPr>
      <w:bookmarkStart w:id="314" w:name="_Toc3359"/>
      <w:r>
        <w:rPr>
          <w:rFonts w:hint="eastAsia" w:ascii="黑体" w:hAnsi="黑体" w:eastAsia="黑体"/>
          <w:color w:val="auto"/>
          <w:sz w:val="28"/>
          <w:szCs w:val="28"/>
          <w:highlight w:val="none"/>
        </w:rPr>
        <w:t>8.3　</w:t>
      </w:r>
      <w:bookmarkStart w:id="315" w:name="_Toc27641"/>
      <w:r>
        <w:rPr>
          <w:rFonts w:hint="eastAsia" w:ascii="黑体" w:hAnsi="黑体" w:eastAsia="黑体"/>
          <w:color w:val="auto"/>
          <w:sz w:val="28"/>
          <w:szCs w:val="28"/>
          <w:highlight w:val="none"/>
        </w:rPr>
        <w:t>施工方案模拟</w:t>
      </w:r>
      <w:bookmarkEnd w:id="314"/>
      <w:bookmarkEnd w:id="315"/>
    </w:p>
    <w:p w14:paraId="30C2E81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8.3.1　施工方案模拟模型可以基于施工图设计模型、施工准备模型、预制加工模型等施工过程模型创建,附加和关联平面布置、工序安排、进度计划以及资源配置等信息施工筹划模拟可以包含施工场地布置模型、建（构）筑物施工组织模型、措施模型等施工过程模型,模型应能够反映施工不同阶段厂区路网、地下管线、临时设施、大型设备等具体情况。</w:t>
      </w:r>
    </w:p>
    <w:p w14:paraId="404F87DD">
      <w:pPr>
        <w:pStyle w:val="31"/>
        <w:ind w:firstLine="428"/>
        <w:rPr>
          <w:rStyle w:val="24"/>
          <w:rFonts w:hint="eastAsia" w:cs="Times New Roman"/>
          <w:color w:val="auto"/>
          <w:highlight w:val="none"/>
        </w:rPr>
      </w:pPr>
      <w:r>
        <w:rPr>
          <w:rStyle w:val="24"/>
          <w:rFonts w:hint="eastAsia" w:cs="Times New Roman"/>
          <w:color w:val="auto"/>
          <w:highlight w:val="none"/>
        </w:rPr>
        <w:t>施工方案模拟应用可以包括:施工平面布置、工序安排、进度计划、资源配置等。施工平面布置模拟应结合施工进度安排,优化各施工阶段的垂直运输机械布置、现场材料堆放区及加工区布置、临水临电的布置以及运输道路布置等,便于施工顺利进行。工序组织模批宜结合项目施工工作内容、工艺选择及配套资源等,明确工序间的持续时间以及搭接、穿插等关系,优化项目工序组织安排。施工组织模拟过程中及时记录工序安排、资源配置及平面布置等存在的问题,形成施工组织模拟分析报告等指导文件。完成后,根据模拟成果对工序安排、资源配置、平面布置等进行协调和优化,并将相关信息更新到模型中。</w:t>
      </w:r>
    </w:p>
    <w:p w14:paraId="461BEF45">
      <w:pPr>
        <w:pStyle w:val="31"/>
        <w:ind w:firstLine="428"/>
        <w:rPr>
          <w:rStyle w:val="24"/>
          <w:rFonts w:hint="eastAsia" w:cs="Times New Roman"/>
          <w:color w:val="auto"/>
          <w:highlight w:val="none"/>
        </w:rPr>
      </w:pPr>
      <w:r>
        <w:rPr>
          <w:rStyle w:val="24"/>
          <w:rFonts w:hint="eastAsia" w:cs="Times New Roman"/>
          <w:color w:val="auto"/>
          <w:highlight w:val="none"/>
        </w:rPr>
        <w:t>大型设备运输模拟通过收集大型设备的尺寸、重量、运输要求、BIM模型等相关信息结合施工场地模型模拟大型设备运输路径。模拟时应考虑道路限高、限宽、拐弯处的转弯半径等因素，规划安全有效的运输路径。在模拟运输过程中监测运输车辆在运输路径上的行驶情况，通过仿真可以评估运输过程中可能遇到的问题和风险，如车辆是否能通过狭窄路段、转弯是否合适等。</w:t>
      </w:r>
    </w:p>
    <w:p w14:paraId="38B6F692">
      <w:pPr>
        <w:pStyle w:val="31"/>
        <w:ind w:firstLine="428"/>
        <w:rPr>
          <w:rStyle w:val="24"/>
          <w:rFonts w:hint="eastAsia" w:cs="Times New Roman"/>
          <w:color w:val="auto"/>
          <w:highlight w:val="none"/>
        </w:rPr>
      </w:pPr>
      <w:r>
        <w:rPr>
          <w:rStyle w:val="24"/>
          <w:rFonts w:hint="eastAsia" w:cs="Times New Roman"/>
          <w:color w:val="auto"/>
          <w:highlight w:val="none"/>
        </w:rPr>
        <w:t>大型设备安装模拟根据设备的安装要求和场地条件，设计大型设备的安装方案。利用BIM软件制定安装流程、确定起重点和支撑结构位置等，以确保安装过程顺利进行。通过在模拟安装过程中吊装、固定等步骤，以评估安装方案的可行性和安全性，及时发现并解决潜在问题。</w:t>
      </w:r>
    </w:p>
    <w:p w14:paraId="5E1E03F9">
      <w:pPr>
        <w:pStyle w:val="31"/>
        <w:ind w:firstLine="428"/>
        <w:rPr>
          <w:rStyle w:val="24"/>
          <w:rFonts w:hint="eastAsia" w:cs="Times New Roman"/>
          <w:color w:val="auto"/>
          <w:highlight w:val="none"/>
        </w:rPr>
      </w:pPr>
      <w:r>
        <w:rPr>
          <w:rStyle w:val="24"/>
          <w:rFonts w:hint="eastAsia" w:cs="Times New Roman"/>
          <w:color w:val="auto"/>
          <w:highlight w:val="none"/>
        </w:rPr>
        <w:t>最后根据模拟结果生成大型设备运输路径模型和安装方案模型及相关视频。这些成果文件可以为实际运输和安装工作提供指导和参考，减少风险并提高效率。</w:t>
      </w:r>
    </w:p>
    <w:p w14:paraId="408B457E">
      <w:pPr>
        <w:pStyle w:val="21"/>
        <w:spacing w:line="360" w:lineRule="auto"/>
        <w:ind w:firstLine="560"/>
        <w:jc w:val="center"/>
        <w:rPr>
          <w:rFonts w:hint="eastAsia" w:ascii="黑体" w:hAnsi="黑体" w:eastAsia="黑体"/>
          <w:color w:val="auto"/>
          <w:sz w:val="28"/>
          <w:szCs w:val="28"/>
          <w:highlight w:val="none"/>
        </w:rPr>
      </w:pPr>
      <w:bookmarkStart w:id="316" w:name="_Toc30130"/>
      <w:r>
        <w:rPr>
          <w:rFonts w:hint="eastAsia" w:ascii="黑体" w:hAnsi="黑体" w:eastAsia="黑体"/>
          <w:color w:val="auto"/>
          <w:sz w:val="28"/>
          <w:szCs w:val="28"/>
          <w:highlight w:val="none"/>
        </w:rPr>
        <w:t>8.4　</w:t>
      </w:r>
      <w:bookmarkStart w:id="317" w:name="_Toc7276"/>
      <w:r>
        <w:rPr>
          <w:rFonts w:hint="eastAsia" w:ascii="黑体" w:hAnsi="黑体" w:eastAsia="黑体"/>
          <w:color w:val="auto"/>
          <w:sz w:val="28"/>
          <w:szCs w:val="28"/>
          <w:highlight w:val="none"/>
        </w:rPr>
        <w:t>应急预案模拟</w:t>
      </w:r>
      <w:bookmarkEnd w:id="316"/>
      <w:bookmarkEnd w:id="317"/>
    </w:p>
    <w:p w14:paraId="39F5CB0A">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8.4.1　应急预案模拟可以有效提高建筑场所的安全性和紧急情况下的救援效率，为应对突发事件提供科学依据和支持。应急预案的施工准备模型应包含建筑结构、设备设施等方面的数据，根据实际场景和潜在的灾害风险，模拟不同的应急情境，包括火灾疏散、救援行动、设备启动等活动。根据模拟演练的结果，收集各项数据，包括人员疏散时间、设备启动时间、灾害扩散速度等指标，通过数据分析，评估实际场景下应急预案的可行性和效果。最后，根据分析和评估结果，编制应急预案优化报告，详细介绍模拟演练过程、数据分析结果、对应的优化措施和建议。报告中应包括具体的改进方案、实施步骤和效果预期，为建筑管理者和相关部门提供决策参考。</w:t>
      </w:r>
    </w:p>
    <w:p w14:paraId="257B176D">
      <w:pPr>
        <w:pStyle w:val="21"/>
        <w:ind w:firstLine="0" w:firstLineChars="0"/>
        <w:rPr>
          <w:color w:val="auto"/>
          <w:highlight w:val="none"/>
        </w:rPr>
      </w:pPr>
      <w:r>
        <w:rPr>
          <w:color w:val="auto"/>
          <w:spacing w:val="-1"/>
          <w:highlight w:val="none"/>
        </w:rPr>
        <w:t xml:space="preserve"> </w:t>
      </w:r>
    </w:p>
    <w:p w14:paraId="30507F14">
      <w:pPr>
        <w:pStyle w:val="21"/>
        <w:ind w:firstLine="640"/>
        <w:jc w:val="center"/>
        <w:rPr>
          <w:rFonts w:eastAsia="黑体"/>
          <w:color w:val="auto"/>
          <w:sz w:val="32"/>
          <w:szCs w:val="32"/>
          <w:highlight w:val="none"/>
        </w:rPr>
        <w:sectPr>
          <w:pgSz w:w="11906" w:h="16838"/>
          <w:pgMar w:top="1418" w:right="1418" w:bottom="1361" w:left="1134" w:header="851" w:footer="992" w:gutter="0"/>
          <w:cols w:space="720" w:num="1"/>
          <w:docGrid w:type="lines" w:linePitch="312" w:charSpace="0"/>
        </w:sectPr>
      </w:pPr>
    </w:p>
    <w:p w14:paraId="3BF94E69">
      <w:pPr>
        <w:pStyle w:val="21"/>
        <w:numPr>
          <w:ilvl w:val="0"/>
          <w:numId w:val="97"/>
        </w:numPr>
        <w:spacing w:line="480" w:lineRule="auto"/>
        <w:ind w:left="0" w:firstLine="640"/>
        <w:jc w:val="center"/>
        <w:rPr>
          <w:rFonts w:eastAsia="黑体"/>
          <w:color w:val="auto"/>
          <w:sz w:val="32"/>
          <w:szCs w:val="32"/>
          <w:highlight w:val="none"/>
        </w:rPr>
      </w:pPr>
      <w:bookmarkStart w:id="318" w:name="_Ref20478419"/>
      <w:r>
        <w:rPr>
          <w:rFonts w:eastAsia="黑体"/>
          <w:color w:val="auto"/>
          <w:sz w:val="32"/>
          <w:szCs w:val="32"/>
          <w:highlight w:val="none"/>
        </w:rPr>
        <w:t>施工实施</w:t>
      </w:r>
      <w:r>
        <w:rPr>
          <w:rFonts w:hint="eastAsia" w:eastAsia="黑体"/>
          <w:color w:val="auto"/>
          <w:sz w:val="32"/>
          <w:szCs w:val="32"/>
          <w:highlight w:val="none"/>
        </w:rPr>
        <w:t>阶段</w:t>
      </w:r>
    </w:p>
    <w:p w14:paraId="6641DB33">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9.1　一般规定</w:t>
      </w:r>
    </w:p>
    <w:p w14:paraId="07831131">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9.1.1　本阶段前期根据不同业主及施工的需求，编制涵盖项目所需应用点的策划方案。</w:t>
      </w:r>
    </w:p>
    <w:p w14:paraId="4A373A39">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9.1.2　施工组织方案是包括施工组织与管理、施工准备与实施、施工控制与协调、资源的配置与使用等全面性的技术、经济文件，是对施工活动的全过程进行科学管理的重要手段。通过编制施工组织设计，可以针对工程的特点，根据施工环境的各种具体条件，按照客观的施工规律。将施工组织方案的信息与施工深化模型结合，可以形成施工实施模型，并作为施工实施阶段模型应用的主要基础模型。</w:t>
      </w:r>
    </w:p>
    <w:p w14:paraId="43C18A1A">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9.1.4　数字化交付策略主要针对竣工资料交付，目的是利用模型集成建设期的工程资料，为运营期的BIM技术应用提供基础资料。</w:t>
      </w:r>
    </w:p>
    <w:p w14:paraId="72DBE8C6">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9.</w:t>
      </w:r>
      <w:r>
        <w:rPr>
          <w:rFonts w:ascii="黑体" w:hAnsi="黑体" w:eastAsia="黑体"/>
          <w:color w:val="auto"/>
          <w:sz w:val="28"/>
          <w:szCs w:val="28"/>
          <w:highlight w:val="none"/>
        </w:rPr>
        <w:t>2</w:t>
      </w:r>
      <w:r>
        <w:rPr>
          <w:rFonts w:hint="eastAsia" w:ascii="黑体" w:hAnsi="黑体" w:eastAsia="黑体"/>
          <w:color w:val="auto"/>
          <w:sz w:val="28"/>
          <w:szCs w:val="28"/>
          <w:highlight w:val="none"/>
        </w:rPr>
        <w:t>　进度管理</w:t>
      </w:r>
    </w:p>
    <w:p w14:paraId="797DF241">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2</w:t>
      </w:r>
      <w:r>
        <w:rPr>
          <w:rFonts w:hint="eastAsia" w:ascii="宋体" w:hAnsi="宋体" w:eastAsia="宋体"/>
          <w:bCs/>
          <w:color w:val="auto"/>
          <w:szCs w:val="32"/>
          <w:highlight w:val="none"/>
        </w:rPr>
        <w:t>.1　实际施工进度信息为动态的施工进度信息，用来直观展示进度状况，一般根据施工情况的不同，有多种表现方式。</w:t>
      </w:r>
    </w:p>
    <w:p w14:paraId="6FC3B16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2</w:t>
      </w:r>
      <w:r>
        <w:rPr>
          <w:rFonts w:hint="eastAsia" w:ascii="宋体" w:hAnsi="宋体" w:eastAsia="宋体"/>
          <w:bCs/>
          <w:color w:val="auto"/>
          <w:szCs w:val="32"/>
          <w:highlight w:val="none"/>
        </w:rPr>
        <w:t>.2　将施工计划进度与施工实施模型相结合，可以形成基于时间的动态模型，即常说的BIM4D应用。通过进度偏差控制报告，可以直观展示关键工作的时间，对项目整体进度进行把控，从而准时或者提前完成项目。</w:t>
      </w:r>
    </w:p>
    <w:p w14:paraId="4179BE1E">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9.</w:t>
      </w:r>
      <w:r>
        <w:rPr>
          <w:rFonts w:ascii="黑体" w:hAnsi="黑体" w:eastAsia="黑体"/>
          <w:color w:val="auto"/>
          <w:highlight w:val="none"/>
        </w:rPr>
        <w:t>3</w:t>
      </w:r>
      <w:r>
        <w:rPr>
          <w:rFonts w:hint="eastAsia" w:ascii="黑体" w:hAnsi="黑体" w:eastAsia="黑体"/>
          <w:color w:val="auto"/>
          <w:highlight w:val="none"/>
        </w:rPr>
        <w:t>　质量管理</w:t>
      </w:r>
    </w:p>
    <w:p w14:paraId="767F6EEB">
      <w:pPr>
        <w:spacing w:line="240" w:lineRule="auto"/>
        <w:ind w:firstLine="0" w:firstLineChars="0"/>
        <w:rPr>
          <w:color w:val="auto"/>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3</w:t>
      </w:r>
      <w:r>
        <w:rPr>
          <w:rFonts w:hint="eastAsia" w:ascii="宋体" w:hAnsi="宋体" w:eastAsia="宋体"/>
          <w:bCs/>
          <w:color w:val="auto"/>
          <w:szCs w:val="32"/>
          <w:highlight w:val="none"/>
        </w:rPr>
        <w:t>.1　质量管理是依据质量方案，通过施工实施模型进行质量策划和质量交底。依据流水段和施工段对模型进行划分，进行质量</w:t>
      </w:r>
      <w:r>
        <w:rPr>
          <w:rFonts w:hint="eastAsia" w:ascii="宋体" w:hAnsi="宋体" w:eastAsia="宋体"/>
          <w:bCs/>
          <w:color w:val="auto"/>
          <w:szCs w:val="32"/>
          <w:highlight w:val="none"/>
          <w:lang w:eastAsia="zh-CN"/>
        </w:rPr>
        <w:t>检查</w:t>
      </w:r>
      <w:r>
        <w:rPr>
          <w:rFonts w:hint="eastAsia" w:ascii="宋体" w:hAnsi="宋体" w:eastAsia="宋体"/>
          <w:bCs/>
          <w:color w:val="auto"/>
          <w:szCs w:val="32"/>
          <w:highlight w:val="none"/>
        </w:rPr>
        <w:t>和质量资料管理。</w:t>
      </w:r>
      <w:r>
        <w:rPr>
          <w:color w:val="auto"/>
          <w:highlight w:val="none"/>
        </w:rPr>
        <w:t>质量</w:t>
      </w:r>
      <w:r>
        <w:rPr>
          <w:rFonts w:hint="eastAsia"/>
          <w:color w:val="auto"/>
          <w:highlight w:val="none"/>
        </w:rPr>
        <w:t>管理</w:t>
      </w:r>
      <w:r>
        <w:rPr>
          <w:color w:val="auto"/>
          <w:highlight w:val="none"/>
        </w:rPr>
        <w:t>融合</w:t>
      </w:r>
      <w:r>
        <w:rPr>
          <w:rFonts w:hint="eastAsia"/>
          <w:color w:val="auto"/>
          <w:highlight w:val="none"/>
        </w:rPr>
        <w:t>“</w:t>
      </w:r>
      <w:r>
        <w:rPr>
          <w:color w:val="auto"/>
          <w:highlight w:val="none"/>
        </w:rPr>
        <w:t>计划、执行、检查、处理</w:t>
      </w:r>
      <w:r>
        <w:rPr>
          <w:rFonts w:hint="eastAsia"/>
          <w:color w:val="auto"/>
          <w:highlight w:val="none"/>
        </w:rPr>
        <w:t>”</w:t>
      </w:r>
      <w:r>
        <w:rPr>
          <w:color w:val="auto"/>
          <w:highlight w:val="none"/>
        </w:rPr>
        <w:t>循环工作方法，不断落实深化质量管理。</w:t>
      </w:r>
    </w:p>
    <w:p w14:paraId="11CF2E6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3</w:t>
      </w:r>
      <w:r>
        <w:rPr>
          <w:rFonts w:hint="eastAsia" w:ascii="宋体" w:hAnsi="宋体" w:eastAsia="宋体"/>
          <w:bCs/>
          <w:color w:val="auto"/>
          <w:szCs w:val="32"/>
          <w:highlight w:val="none"/>
        </w:rPr>
        <w:t>.</w:t>
      </w:r>
      <w:r>
        <w:rPr>
          <w:rFonts w:ascii="宋体" w:hAnsi="宋体" w:eastAsia="宋体"/>
          <w:bCs/>
          <w:color w:val="auto"/>
          <w:szCs w:val="32"/>
          <w:highlight w:val="none"/>
        </w:rPr>
        <w:t>2</w:t>
      </w:r>
      <w:r>
        <w:rPr>
          <w:rFonts w:hint="eastAsia" w:ascii="宋体" w:hAnsi="宋体" w:eastAsia="宋体"/>
          <w:bCs/>
          <w:color w:val="auto"/>
          <w:szCs w:val="32"/>
          <w:highlight w:val="none"/>
        </w:rPr>
        <w:t>　预制构件加工基于协同管理应用涵盖预制构件设计、生产、物流及管理等方面。</w:t>
      </w:r>
    </w:p>
    <w:p w14:paraId="5433D0CD">
      <w:pPr>
        <w:spacing w:line="240" w:lineRule="auto"/>
        <w:ind w:firstLine="0" w:firstLineChars="0"/>
        <w:rPr>
          <w:color w:val="auto"/>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3</w:t>
      </w:r>
      <w:r>
        <w:rPr>
          <w:rFonts w:hint="eastAsia" w:ascii="宋体" w:hAnsi="宋体" w:eastAsia="宋体"/>
          <w:bCs/>
          <w:color w:val="auto"/>
          <w:szCs w:val="32"/>
          <w:highlight w:val="none"/>
        </w:rPr>
        <w:t>.3　施工监理基于协同平台实现监理主要工作内容和流程的信息化。因此软件业务功能应与监理规范要求、项目实际需求相适应，应包括有质量控制、进度控制、造价控制、安全生产管理、工程变更控制等基本功能。</w:t>
      </w:r>
    </w:p>
    <w:p w14:paraId="62DE28D4">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9.</w:t>
      </w:r>
      <w:r>
        <w:rPr>
          <w:rFonts w:ascii="黑体" w:hAnsi="黑体" w:eastAsia="黑体"/>
          <w:color w:val="auto"/>
          <w:highlight w:val="none"/>
        </w:rPr>
        <w:t>4</w:t>
      </w:r>
      <w:r>
        <w:rPr>
          <w:rFonts w:hint="eastAsia" w:ascii="黑体" w:hAnsi="黑体" w:eastAsia="黑体"/>
          <w:color w:val="auto"/>
          <w:highlight w:val="none"/>
        </w:rPr>
        <w:t>　安全管理</w:t>
      </w:r>
    </w:p>
    <w:p w14:paraId="7FD13D7B">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4</w:t>
      </w:r>
      <w:r>
        <w:rPr>
          <w:rFonts w:hint="eastAsia" w:ascii="宋体" w:hAnsi="宋体" w:eastAsia="宋体"/>
          <w:bCs/>
          <w:color w:val="auto"/>
          <w:szCs w:val="32"/>
          <w:highlight w:val="none"/>
        </w:rPr>
        <w:t>.1　基于 BIM 技术，对施工现场重要生产要素的状态进行绘制和控制，有助于实现危险源的辨识和动态管理，有助于加强安全策划工作。使施工过程中的不安全行为/不安全状态得到减少和消除。做到不引发事故，尤其是不引发使人员受到伤害的事故，确保工程项目的效益目标得以实现。</w:t>
      </w:r>
    </w:p>
    <w:p w14:paraId="19308A2D">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.4.2</w:t>
      </w:r>
      <w:r>
        <w:rPr>
          <w:rFonts w:hint="eastAsia" w:ascii="宋体" w:hAnsi="宋体" w:eastAsia="宋体"/>
          <w:bCs/>
          <w:color w:val="auto"/>
          <w:szCs w:val="32"/>
          <w:highlight w:val="none"/>
        </w:rPr>
        <w:t>　安全风险源管控是创建安全技术措施模型,进行安全交底、安全样板引路。进行安全危险源识别、安全防护设计、受力分析等。将模型上传至协同管理平台，进行安全问题追踪和安全资料管理。</w:t>
      </w:r>
    </w:p>
    <w:p w14:paraId="7631A8CD">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9.</w:t>
      </w:r>
      <w:r>
        <w:rPr>
          <w:rFonts w:ascii="黑体" w:hAnsi="黑体" w:eastAsia="黑体"/>
          <w:color w:val="auto"/>
          <w:highlight w:val="none"/>
        </w:rPr>
        <w:t>5</w:t>
      </w:r>
      <w:r>
        <w:rPr>
          <w:rFonts w:hint="eastAsia" w:ascii="黑体" w:hAnsi="黑体" w:eastAsia="黑体"/>
          <w:color w:val="auto"/>
          <w:highlight w:val="none"/>
        </w:rPr>
        <w:t>　成本管理</w:t>
      </w:r>
    </w:p>
    <w:p w14:paraId="6A25B31C">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5</w:t>
      </w:r>
      <w:r>
        <w:rPr>
          <w:rFonts w:hint="eastAsia" w:ascii="宋体" w:hAnsi="宋体" w:eastAsia="宋体"/>
          <w:bCs/>
          <w:color w:val="auto"/>
          <w:szCs w:val="32"/>
          <w:highlight w:val="none"/>
        </w:rPr>
        <w:t>.1　成本管理BIM 应用的核心目标是利用模型快速准确地实现成本的动态汇总、统计、分析，精细化实现三算对比分析，满足成本精细化控制需求。如施工准备阶段的劳动力计划、材料需求计划和机械计划，施工过程中计量与工程量审核等。</w:t>
      </w:r>
    </w:p>
    <w:p w14:paraId="43553614">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5</w:t>
      </w:r>
      <w:r>
        <w:rPr>
          <w:rFonts w:hint="eastAsia" w:ascii="宋体" w:hAnsi="宋体" w:eastAsia="宋体"/>
          <w:bCs/>
          <w:color w:val="auto"/>
          <w:szCs w:val="32"/>
          <w:highlight w:val="none"/>
        </w:rPr>
        <w:t>.</w:t>
      </w:r>
      <w:r>
        <w:rPr>
          <w:rFonts w:ascii="宋体" w:hAnsi="宋体" w:eastAsia="宋体"/>
          <w:bCs/>
          <w:color w:val="auto"/>
          <w:szCs w:val="32"/>
          <w:highlight w:val="none"/>
        </w:rPr>
        <w:t>2</w:t>
      </w:r>
      <w:r>
        <w:rPr>
          <w:rFonts w:hint="eastAsia" w:ascii="宋体" w:hAnsi="宋体" w:eastAsia="宋体"/>
          <w:bCs/>
          <w:color w:val="auto"/>
          <w:szCs w:val="32"/>
          <w:highlight w:val="none"/>
        </w:rPr>
        <w:t>　设备管理中的设备进场和出场管理、设备运行监测、特种设备管理和设备台账等应基于BIM模型与协同管理平台进行。</w:t>
      </w:r>
    </w:p>
    <w:p w14:paraId="37086F3D">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5</w:t>
      </w:r>
      <w:r>
        <w:rPr>
          <w:rFonts w:hint="eastAsia" w:ascii="宋体" w:hAnsi="宋体" w:eastAsia="宋体"/>
          <w:bCs/>
          <w:color w:val="auto"/>
          <w:szCs w:val="32"/>
          <w:highlight w:val="none"/>
        </w:rPr>
        <w:t>.</w:t>
      </w:r>
      <w:r>
        <w:rPr>
          <w:rFonts w:ascii="宋体" w:hAnsi="宋体" w:eastAsia="宋体"/>
          <w:bCs/>
          <w:color w:val="auto"/>
          <w:szCs w:val="32"/>
          <w:highlight w:val="none"/>
        </w:rPr>
        <w:t>3</w:t>
      </w:r>
      <w:r>
        <w:rPr>
          <w:rFonts w:hint="eastAsia" w:ascii="宋体" w:hAnsi="宋体" w:eastAsia="宋体"/>
          <w:bCs/>
          <w:color w:val="auto"/>
          <w:szCs w:val="32"/>
          <w:highlight w:val="none"/>
        </w:rPr>
        <w:t>　材料管理中的材料入库、材料存储、材料出库、材料时效监控和材料台账等应基于BIM模型与协同管理平台进行。</w:t>
      </w:r>
    </w:p>
    <w:p w14:paraId="59A0460F">
      <w:pPr>
        <w:ind w:firstLine="640"/>
        <w:rPr>
          <w:rFonts w:eastAsia="黑体"/>
          <w:color w:val="auto"/>
          <w:sz w:val="32"/>
          <w:szCs w:val="32"/>
          <w:highlight w:val="none"/>
        </w:rPr>
      </w:pPr>
      <w:r>
        <w:rPr>
          <w:rFonts w:hint="eastAsia" w:eastAsia="黑体"/>
          <w:color w:val="auto"/>
          <w:sz w:val="32"/>
          <w:szCs w:val="32"/>
          <w:highlight w:val="none"/>
        </w:rPr>
        <w:br w:type="page"/>
      </w:r>
    </w:p>
    <w:bookmarkEnd w:id="318"/>
    <w:p w14:paraId="48998DD4">
      <w:pPr>
        <w:pStyle w:val="21"/>
        <w:numPr>
          <w:ilvl w:val="0"/>
          <w:numId w:val="97"/>
        </w:numPr>
        <w:spacing w:line="480" w:lineRule="auto"/>
        <w:ind w:left="0" w:firstLine="640" w:firstLineChars="0"/>
        <w:jc w:val="center"/>
        <w:rPr>
          <w:rFonts w:eastAsia="黑体"/>
          <w:color w:val="auto"/>
          <w:sz w:val="32"/>
          <w:szCs w:val="32"/>
          <w:highlight w:val="none"/>
        </w:rPr>
      </w:pPr>
      <w:bookmarkStart w:id="319" w:name="_Ref20478427"/>
      <w:r>
        <w:rPr>
          <w:rFonts w:hint="eastAsia" w:eastAsia="黑体"/>
          <w:color w:val="auto"/>
          <w:sz w:val="32"/>
          <w:szCs w:val="32"/>
          <w:highlight w:val="none"/>
        </w:rPr>
        <w:t>运维阶段</w:t>
      </w:r>
    </w:p>
    <w:p w14:paraId="45E2CFFD">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10.1　一般规定</w:t>
      </w:r>
    </w:p>
    <w:p w14:paraId="2951EBD0">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10.1.1　运维阶段前泛指项目开始阶段，即在具体项目进行模型应用策划时就开始调研相关方的需求，进而对模型和平台进行统一考虑。</w:t>
      </w:r>
    </w:p>
    <w:p w14:paraId="46D0484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10.1.2　对于采用BIM技术进行竣工交付的项目会有竣工模型，但按照传统二维设计方法进行设计的项目只有二维图纸，要进行BIM的运维应用就必须重新搭建BIM模型；对于有一定使用年限的既有建筑同样面临着重新建模的问题。</w:t>
      </w:r>
    </w:p>
    <w:p w14:paraId="3F72A596">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10.1.3　为使运维模型清晰、高效、明了，有必要针对运维的不同用途如维护管理、应急管理、资产管理等对模型进行精简优化，突出有用信息，减少无用信息，使模型轻量化、运行维护便捷顺畅。</w:t>
      </w:r>
    </w:p>
    <w:p w14:paraId="2C474FBF">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10.1.5　运维系统的研发是在充足的需求调研基础上进行的，运维系统需能满足用户对运维的要求。基于BIM技术的运维系统是以可视化的三维模型作为系统载体，集合运维所需的信息数据，整合运维实际流程进行信息化管控。在研发运维系统的同时，注意集成现有的建筑设备自控(BA)系统、消防(FA)系统、安防(SA)系统。系统开发完成后需要对相关人员进行培训，并制定相应的规章制度，辅助系统的运行。</w:t>
      </w:r>
    </w:p>
    <w:p w14:paraId="46CB2D93">
      <w:pPr>
        <w:spacing w:line="240" w:lineRule="auto"/>
        <w:ind w:firstLine="0" w:firstLineChars="0"/>
        <w:rPr>
          <w:rFonts w:hint="eastAsia" w:ascii="宋体" w:hAnsi="宋体" w:eastAsia="宋体"/>
          <w:bCs/>
          <w:color w:val="auto"/>
          <w:szCs w:val="32"/>
          <w:highlight w:val="none"/>
        </w:rPr>
      </w:pPr>
    </w:p>
    <w:p w14:paraId="7BA03C69">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 xml:space="preserve">10.2　资产管理 </w:t>
      </w:r>
    </w:p>
    <w:p w14:paraId="4D3A8A72">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10.2.2　利用建筑信息模型对资产进行信息化管理,辅助建设单位进行投资决策和制定短期、长期的管理计划。利用运维模型数据，评估、改造和更新建筑资产的费用，建立维护和模型关联的资产数据库。通常可以：</w:t>
      </w:r>
    </w:p>
    <w:p w14:paraId="59DE0C75">
      <w:pPr>
        <w:pStyle w:val="21"/>
        <w:rPr>
          <w:color w:val="auto"/>
          <w:highlight w:val="none"/>
        </w:rPr>
      </w:pPr>
      <w:r>
        <w:rPr>
          <w:rFonts w:hint="eastAsia"/>
          <w:color w:val="auto"/>
          <w:highlight w:val="none"/>
        </w:rPr>
        <w:t>1　形成运营和财务部门需要的可直观理解的资产管理信息源，实时提供有关资产报表。</w:t>
      </w:r>
    </w:p>
    <w:p w14:paraId="3690C490">
      <w:pPr>
        <w:pStyle w:val="21"/>
        <w:rPr>
          <w:color w:val="auto"/>
          <w:highlight w:val="none"/>
        </w:rPr>
      </w:pPr>
      <w:r>
        <w:rPr>
          <w:rFonts w:hint="eastAsia"/>
          <w:color w:val="auto"/>
          <w:highlight w:val="none"/>
        </w:rPr>
        <w:t>2　生成企业的资产财务报告，分析模拟特殊资产更新和替代的成本测算。</w:t>
      </w:r>
    </w:p>
    <w:p w14:paraId="6AD19CE7">
      <w:pPr>
        <w:pStyle w:val="21"/>
        <w:rPr>
          <w:color w:val="auto"/>
          <w:highlight w:val="none"/>
        </w:rPr>
      </w:pPr>
      <w:r>
        <w:rPr>
          <w:rFonts w:hint="eastAsia"/>
          <w:color w:val="auto"/>
          <w:highlight w:val="none"/>
        </w:rPr>
        <w:t>3　记录模型更新，动态显示建筑资产信息的更新、替换或维护过程，并跟踪各类变化。</w:t>
      </w:r>
    </w:p>
    <w:p w14:paraId="067D4CE5">
      <w:pPr>
        <w:pStyle w:val="21"/>
        <w:rPr>
          <w:color w:val="auto"/>
          <w:highlight w:val="none"/>
        </w:rPr>
      </w:pPr>
      <w:r>
        <w:rPr>
          <w:rFonts w:hint="eastAsia"/>
          <w:color w:val="auto"/>
          <w:highlight w:val="none"/>
        </w:rPr>
        <w:t>4　基于建筑信息模型的资产管理，财务部门可提供不同类型的资产分析。</w:t>
      </w:r>
    </w:p>
    <w:p w14:paraId="0FFBB427">
      <w:pPr>
        <w:pStyle w:val="21"/>
        <w:rPr>
          <w:color w:val="auto"/>
          <w:highlight w:val="none"/>
        </w:rPr>
      </w:pPr>
    </w:p>
    <w:p w14:paraId="463AF02B">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10.3　设备集成与监控　</w:t>
      </w:r>
    </w:p>
    <w:p w14:paraId="5E1C7DB5">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10.3.2</w:t>
      </w:r>
      <w:r>
        <w:rPr>
          <w:rFonts w:ascii="宋体" w:hAnsi="宋体" w:eastAsia="宋体"/>
          <w:bCs/>
          <w:color w:val="auto"/>
          <w:szCs w:val="32"/>
          <w:highlight w:val="none"/>
        </w:rPr>
        <w:t>　</w:t>
      </w:r>
      <w:r>
        <w:rPr>
          <w:rFonts w:hint="eastAsia" w:ascii="宋体" w:hAnsi="宋体" w:eastAsia="宋体"/>
          <w:bCs/>
          <w:color w:val="auto"/>
          <w:szCs w:val="32"/>
          <w:highlight w:val="none"/>
        </w:rPr>
        <w:t>城市地下空间设备集成与监控过程中，需要对运营模型中设备相关运行数据、检修状态、可靠性评估等信息进行监控更新维护，还可以根据实际情况，结合运营单位的故障预测与健康管理（PHM）等专业，基于运营平台和模型实现设备的自主保障、自主诊断的实时状态展示和管理。</w:t>
      </w:r>
    </w:p>
    <w:p w14:paraId="060F6BAA">
      <w:pPr>
        <w:spacing w:line="240" w:lineRule="auto"/>
        <w:ind w:firstLine="0" w:firstLineChars="0"/>
        <w:rPr>
          <w:rFonts w:hint="eastAsia" w:ascii="宋体" w:hAnsi="宋体" w:eastAsia="宋体"/>
          <w:bCs/>
          <w:color w:val="auto"/>
          <w:szCs w:val="32"/>
          <w:highlight w:val="none"/>
        </w:rPr>
      </w:pPr>
    </w:p>
    <w:p w14:paraId="18A2033F">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10.4　应急管理</w:t>
      </w:r>
    </w:p>
    <w:p w14:paraId="1A633AF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10.4.1</w:t>
      </w:r>
      <w:r>
        <w:rPr>
          <w:rFonts w:ascii="宋体" w:hAnsi="宋体" w:eastAsia="宋体"/>
          <w:bCs/>
          <w:color w:val="auto"/>
          <w:szCs w:val="32"/>
          <w:highlight w:val="none"/>
        </w:rPr>
        <w:t>　</w:t>
      </w:r>
      <w:r>
        <w:rPr>
          <w:rFonts w:hint="eastAsia" w:ascii="宋体" w:hAnsi="宋体" w:eastAsia="宋体"/>
          <w:bCs/>
          <w:color w:val="auto"/>
          <w:szCs w:val="32"/>
          <w:highlight w:val="none"/>
        </w:rPr>
        <w:t>应急管理是基于运维系统对突发事件发生前进行应急指挥模拟，对突发事件发生后进行合理处置。应急管理的建筑信息模型必须包含空间（房间及区域）属性信息，结合系统中预先设置好的人员疏散路线信息，救援路线信息、摄像头位置点信息、救援设备位置点信息等，在人员疏散逃离及救援人员进入现场时给予正确的处置参考信息。</w:t>
      </w:r>
    </w:p>
    <w:p w14:paraId="6BDAD11A">
      <w:pPr>
        <w:spacing w:line="240" w:lineRule="auto"/>
        <w:ind w:firstLine="0" w:firstLineChars="0"/>
        <w:rPr>
          <w:rFonts w:hint="eastAsia" w:ascii="宋体" w:hAnsi="宋体" w:eastAsia="宋体"/>
          <w:bCs/>
          <w:color w:val="auto"/>
          <w:szCs w:val="32"/>
          <w:highlight w:val="none"/>
        </w:rPr>
      </w:pPr>
    </w:p>
    <w:p w14:paraId="4494C071">
      <w:pPr>
        <w:spacing w:line="240" w:lineRule="auto"/>
        <w:ind w:firstLine="0" w:firstLineChars="0"/>
        <w:rPr>
          <w:rFonts w:hint="eastAsia" w:ascii="宋体" w:hAnsi="宋体" w:eastAsia="宋体"/>
          <w:bCs/>
          <w:color w:val="auto"/>
          <w:szCs w:val="32"/>
          <w:highlight w:val="none"/>
        </w:rPr>
      </w:pPr>
    </w:p>
    <w:p w14:paraId="19A77B68">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 xml:space="preserve">10.5　维护管理 </w:t>
      </w:r>
    </w:p>
    <w:p w14:paraId="4935FBC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10.5.1　维护管理是基于运维系统进行的，通过运维系统可以在模型中快捷地定位到需要维护的设备、构件具体位置，查询相应的维护保养信息，给维护保养人员委派维保单。同时针对每日的日常巡检，运维系统可以制定日常巡检路线，记录巡检操作内容，优化运维人员组织架构。</w:t>
      </w:r>
    </w:p>
    <w:p w14:paraId="3708E792">
      <w:pPr>
        <w:pStyle w:val="21"/>
        <w:rPr>
          <w:color w:val="auto"/>
          <w:highlight w:val="none"/>
        </w:rPr>
      </w:pPr>
      <w:r>
        <w:rPr>
          <w:rFonts w:hint="eastAsia"/>
          <w:color w:val="auto"/>
          <w:highlight w:val="none"/>
        </w:rPr>
        <w:t>维护管理的主要任务包括：日常巡检；维保管理（编制维保计划、定期维修、报修管理、维护更新设施设备数据）。</w:t>
      </w:r>
    </w:p>
    <w:bookmarkEnd w:id="304"/>
    <w:bookmarkEnd w:id="319"/>
    <w:p w14:paraId="6BA8A38E">
      <w:pPr>
        <w:pStyle w:val="30"/>
        <w:ind w:left="420" w:leftChars="200" w:firstLine="0"/>
        <w:rPr>
          <w:rFonts w:hint="eastAsia" w:ascii="黑体" w:hAnsi="黑体" w:eastAsia="黑体" w:cstheme="minorBidi"/>
          <w:bCs w:val="0"/>
          <w:color w:val="auto"/>
          <w:szCs w:val="28"/>
          <w:highlight w:val="none"/>
        </w:rPr>
      </w:pPr>
      <w:bookmarkStart w:id="320" w:name="_Toc18944"/>
      <w:r>
        <w:rPr>
          <w:rFonts w:hint="eastAsia" w:ascii="黑体" w:hAnsi="黑体" w:eastAsia="黑体" w:cstheme="minorBidi"/>
          <w:bCs w:val="0"/>
          <w:color w:val="auto"/>
          <w:szCs w:val="28"/>
          <w:highlight w:val="none"/>
        </w:rPr>
        <w:t>10.6</w:t>
      </w:r>
      <w:r>
        <w:rPr>
          <w:rFonts w:hint="eastAsia" w:ascii="黑体" w:hAnsi="黑体" w:eastAsia="黑体"/>
          <w:color w:val="auto"/>
          <w:highlight w:val="none"/>
        </w:rPr>
        <w:t>　</w:t>
      </w:r>
      <w:r>
        <w:rPr>
          <w:rFonts w:hint="eastAsia" w:ascii="黑体" w:hAnsi="黑体" w:eastAsia="黑体" w:cstheme="minorBidi"/>
          <w:bCs w:val="0"/>
          <w:color w:val="auto"/>
          <w:szCs w:val="28"/>
          <w:highlight w:val="none"/>
        </w:rPr>
        <w:t>平战转换</w:t>
      </w:r>
      <w:bookmarkEnd w:id="320"/>
    </w:p>
    <w:p w14:paraId="3F975E6B">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10.6.2  市政地下空间部分区域在规划设计时预留战时特殊功能，一旦进入战时状态或面临紧急情况，通过关闭日常通道、启用隐蔽疏散路线，将人员快速有序引导至安全掩蔽区；对通风系统紧急加装过滤设备、切换气流模式以抵御生化威胁；给排水系统切换至应急供水、封闭污染排水口；电气系统启动应急电源、强化电力防护，全方位保障人员基本生存条件，实现从民用功能向战时防护功能的精准、高效转换。</w:t>
      </w:r>
    </w:p>
    <w:p w14:paraId="2D0E1500">
      <w:pPr>
        <w:spacing w:line="240" w:lineRule="auto"/>
        <w:ind w:firstLine="0" w:firstLineChars="0"/>
        <w:rPr>
          <w:rFonts w:hint="eastAsia" w:ascii="宋体" w:hAnsi="宋体" w:eastAsia="宋体"/>
          <w:bCs/>
          <w:color w:val="auto"/>
          <w:szCs w:val="32"/>
          <w:highlight w:val="none"/>
        </w:rPr>
      </w:pPr>
    </w:p>
    <w:p w14:paraId="10486A95">
      <w:pPr>
        <w:ind w:firstLine="0" w:firstLineChars="0"/>
        <w:rPr>
          <w:color w:val="auto"/>
          <w:highlight w:val="none"/>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2BF8">
    <w:pPr>
      <w:pStyle w:val="8"/>
      <w:framePr w:wrap="around" w:vAnchor="text" w:hAnchor="margin" w:xAlign="center" w:y="1"/>
      <w:jc w:val="center"/>
      <w:rPr>
        <w:rStyle w:val="17"/>
        <w:rFonts w:hint="eastAsia"/>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5</w:t>
    </w:r>
    <w:r>
      <w:rPr>
        <w:rStyle w:val="17"/>
        <w:sz w:val="28"/>
        <w:szCs w:val="28"/>
      </w:rPr>
      <w:fldChar w:fldCharType="end"/>
    </w:r>
    <w:r>
      <w:rPr>
        <w:rStyle w:val="17"/>
        <w:rFonts w:hint="eastAsia"/>
        <w:sz w:val="28"/>
        <w:szCs w:val="28"/>
      </w:rPr>
      <w:t xml:space="preserve"> —</w:t>
    </w:r>
  </w:p>
  <w:p w14:paraId="57EE33D4">
    <w:pPr>
      <w:pStyle w:val="8"/>
      <w:ind w:right="360"/>
      <w:jc w:val="center"/>
      <w:rPr>
        <w:rFonts w:hint="eastAsia"/>
        <w:b/>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9438">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124</w:t>
    </w:r>
    <w:r>
      <w:rPr>
        <w:rStyle w:val="17"/>
      </w:rPr>
      <w:fldChar w:fldCharType="end"/>
    </w:r>
  </w:p>
  <w:p w14:paraId="46AC2CAB">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E99B">
    <w:pPr>
      <w:pStyle w:val="8"/>
      <w:ind w:firstLine="0" w:firstLineChars="0"/>
      <w:jc w:val="right"/>
      <w:rPr>
        <w:rFonts w:hint="eastAsia" w:ascii="新宋体" w:hAnsi="新宋体" w:eastAsia="新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578C3F">
                          <w:pPr>
                            <w:pStyle w:val="8"/>
                            <w:ind w:firstLine="0" w:firstLineChars="0"/>
                            <w:jc w:val="right"/>
                            <w:rPr>
                              <w:rFonts w:hint="eastAsia" w:ascii="新宋体" w:hAnsi="新宋体" w:eastAsia="新宋体"/>
                            </w:rPr>
                          </w:pPr>
                          <w:r>
                            <w:rPr>
                              <w:rFonts w:ascii="新宋体" w:hAnsi="新宋体" w:eastAsia="新宋体"/>
                            </w:rPr>
                            <w:fldChar w:fldCharType="begin"/>
                          </w:r>
                          <w:r>
                            <w:rPr>
                              <w:rFonts w:ascii="新宋体" w:hAnsi="新宋体" w:eastAsia="新宋体"/>
                            </w:rPr>
                            <w:instrText xml:space="preserve">PAGE   \* MERGEFORMAT</w:instrText>
                          </w:r>
                          <w:r>
                            <w:rPr>
                              <w:rFonts w:ascii="新宋体" w:hAnsi="新宋体" w:eastAsia="新宋体"/>
                            </w:rPr>
                            <w:fldChar w:fldCharType="separate"/>
                          </w:r>
                          <w:r>
                            <w:rPr>
                              <w:rFonts w:ascii="新宋体" w:hAnsi="新宋体" w:eastAsia="新宋体"/>
                              <w:lang w:val="zh-CN"/>
                            </w:rPr>
                            <w:t>48</w:t>
                          </w:r>
                          <w:r>
                            <w:rPr>
                              <w:rFonts w:ascii="新宋体" w:hAnsi="新宋体" w:eastAsia="新宋体"/>
                            </w:rPr>
                            <w:fldChar w:fldCharType="end"/>
                          </w:r>
                        </w:p>
                        <w:p w14:paraId="29AC0AEE">
                          <w:pPr>
                            <w:ind w:firstLine="420"/>
                            <w:rPr>
                              <w:rFonts w:hint="eastAsia" w:ascii="新宋体" w:hAnsi="新宋体" w:eastAsia="新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14:paraId="30578C3F">
                    <w:pPr>
                      <w:pStyle w:val="8"/>
                      <w:ind w:firstLine="0" w:firstLineChars="0"/>
                      <w:jc w:val="right"/>
                      <w:rPr>
                        <w:rFonts w:hint="eastAsia" w:ascii="新宋体" w:hAnsi="新宋体" w:eastAsia="新宋体"/>
                      </w:rPr>
                    </w:pPr>
                    <w:r>
                      <w:rPr>
                        <w:rFonts w:ascii="新宋体" w:hAnsi="新宋体" w:eastAsia="新宋体"/>
                      </w:rPr>
                      <w:fldChar w:fldCharType="begin"/>
                    </w:r>
                    <w:r>
                      <w:rPr>
                        <w:rFonts w:ascii="新宋体" w:hAnsi="新宋体" w:eastAsia="新宋体"/>
                      </w:rPr>
                      <w:instrText xml:space="preserve">PAGE   \* MERGEFORMAT</w:instrText>
                    </w:r>
                    <w:r>
                      <w:rPr>
                        <w:rFonts w:ascii="新宋体" w:hAnsi="新宋体" w:eastAsia="新宋体"/>
                      </w:rPr>
                      <w:fldChar w:fldCharType="separate"/>
                    </w:r>
                    <w:r>
                      <w:rPr>
                        <w:rFonts w:ascii="新宋体" w:hAnsi="新宋体" w:eastAsia="新宋体"/>
                        <w:lang w:val="zh-CN"/>
                      </w:rPr>
                      <w:t>48</w:t>
                    </w:r>
                    <w:r>
                      <w:rPr>
                        <w:rFonts w:ascii="新宋体" w:hAnsi="新宋体" w:eastAsia="新宋体"/>
                      </w:rPr>
                      <w:fldChar w:fldCharType="end"/>
                    </w:r>
                  </w:p>
                  <w:p w14:paraId="29AC0AEE">
                    <w:pPr>
                      <w:ind w:firstLine="420"/>
                      <w:rPr>
                        <w:rFonts w:hint="eastAsia" w:ascii="新宋体" w:hAnsi="新宋体" w:eastAsia="新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C64D">
    <w:pPr>
      <w:pStyle w:val="8"/>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50D17A">
                          <w:pPr>
                            <w:pStyle w:val="8"/>
                            <w:ind w:firstLine="0" w:firstLineChars="0"/>
                          </w:pPr>
                          <w:r>
                            <w:fldChar w:fldCharType="begin"/>
                          </w:r>
                          <w:r>
                            <w:instrText xml:space="preserve">PAGE   \* MERGEFORMAT</w:instrText>
                          </w:r>
                          <w:r>
                            <w:fldChar w:fldCharType="separate"/>
                          </w:r>
                          <w:r>
                            <w:rPr>
                              <w:lang w:val="zh-CN"/>
                            </w:rPr>
                            <w:t>18</w:t>
                          </w:r>
                          <w:r>
                            <w:fldChar w:fldCharType="end"/>
                          </w:r>
                        </w:p>
                        <w:p w14:paraId="00811203">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5D50D17A">
                    <w:pPr>
                      <w:pStyle w:val="8"/>
                      <w:ind w:firstLine="0" w:firstLineChars="0"/>
                    </w:pPr>
                    <w:r>
                      <w:fldChar w:fldCharType="begin"/>
                    </w:r>
                    <w:r>
                      <w:instrText xml:space="preserve">PAGE   \* MERGEFORMAT</w:instrText>
                    </w:r>
                    <w:r>
                      <w:fldChar w:fldCharType="separate"/>
                    </w:r>
                    <w:r>
                      <w:rPr>
                        <w:lang w:val="zh-CN"/>
                      </w:rPr>
                      <w:t>18</w:t>
                    </w:r>
                    <w:r>
                      <w:fldChar w:fldCharType="end"/>
                    </w:r>
                  </w:p>
                  <w:p w14:paraId="00811203">
                    <w:pPr>
                      <w:ind w:firstLine="4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919513"/>
    </w:sdtPr>
    <w:sdtEndPr>
      <w:rPr>
        <w:rFonts w:asciiTheme="minorEastAsia" w:hAnsiTheme="minorEastAsia"/>
      </w:rPr>
    </w:sdtEndPr>
    <w:sdtContent>
      <w:p w14:paraId="42186269">
        <w:pPr>
          <w:pStyle w:val="8"/>
          <w:ind w:firstLine="0" w:firstLineChars="0"/>
          <w:jc w:val="right"/>
          <w:rPr>
            <w:rFonts w:hint="eastAsia"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9</w:t>
        </w:r>
        <w:r>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885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1D7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3CCE">
    <w:pPr>
      <w:pStyle w:val="9"/>
      <w:pBdr>
        <w:bottom w:val="single" w:color="auto" w:sz="4"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C3FA">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D14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3BB4A"/>
    <w:multiLevelType w:val="singleLevel"/>
    <w:tmpl w:val="81C3BB4A"/>
    <w:lvl w:ilvl="0" w:tentative="0">
      <w:start w:val="1"/>
      <w:numFmt w:val="decimal"/>
      <w:suff w:val="nothing"/>
      <w:lvlText w:val="%1　"/>
      <w:lvlJc w:val="left"/>
    </w:lvl>
  </w:abstractNum>
  <w:abstractNum w:abstractNumId="1">
    <w:nsid w:val="834C17AF"/>
    <w:multiLevelType w:val="singleLevel"/>
    <w:tmpl w:val="834C17AF"/>
    <w:lvl w:ilvl="0" w:tentative="0">
      <w:start w:val="1"/>
      <w:numFmt w:val="decimal"/>
      <w:suff w:val="nothing"/>
      <w:lvlText w:val="%1　"/>
      <w:lvlJc w:val="left"/>
    </w:lvl>
  </w:abstractNum>
  <w:abstractNum w:abstractNumId="2">
    <w:nsid w:val="84B14CE7"/>
    <w:multiLevelType w:val="singleLevel"/>
    <w:tmpl w:val="84B14CE7"/>
    <w:lvl w:ilvl="0" w:tentative="0">
      <w:start w:val="1"/>
      <w:numFmt w:val="decimal"/>
      <w:suff w:val="nothing"/>
      <w:lvlText w:val="%1　"/>
      <w:lvlJc w:val="left"/>
    </w:lvl>
  </w:abstractNum>
  <w:abstractNum w:abstractNumId="3">
    <w:nsid w:val="8998953E"/>
    <w:multiLevelType w:val="singleLevel"/>
    <w:tmpl w:val="8998953E"/>
    <w:lvl w:ilvl="0" w:tentative="0">
      <w:start w:val="1"/>
      <w:numFmt w:val="decimal"/>
      <w:suff w:val="nothing"/>
      <w:lvlText w:val="%1　"/>
      <w:lvlJc w:val="left"/>
    </w:lvl>
  </w:abstractNum>
  <w:abstractNum w:abstractNumId="4">
    <w:nsid w:val="8A63AC0E"/>
    <w:multiLevelType w:val="singleLevel"/>
    <w:tmpl w:val="8A63AC0E"/>
    <w:lvl w:ilvl="0" w:tentative="0">
      <w:start w:val="1"/>
      <w:numFmt w:val="decimal"/>
      <w:suff w:val="nothing"/>
      <w:lvlText w:val="%1　"/>
      <w:lvlJc w:val="left"/>
    </w:lvl>
  </w:abstractNum>
  <w:abstractNum w:abstractNumId="5">
    <w:nsid w:val="8D468165"/>
    <w:multiLevelType w:val="singleLevel"/>
    <w:tmpl w:val="8D468165"/>
    <w:lvl w:ilvl="0" w:tentative="0">
      <w:start w:val="1"/>
      <w:numFmt w:val="decimal"/>
      <w:suff w:val="nothing"/>
      <w:lvlText w:val="%1　"/>
      <w:lvlJc w:val="left"/>
    </w:lvl>
  </w:abstractNum>
  <w:abstractNum w:abstractNumId="6">
    <w:nsid w:val="8EB2F5D3"/>
    <w:multiLevelType w:val="singleLevel"/>
    <w:tmpl w:val="8EB2F5D3"/>
    <w:lvl w:ilvl="0" w:tentative="0">
      <w:start w:val="1"/>
      <w:numFmt w:val="decimal"/>
      <w:suff w:val="nothing"/>
      <w:lvlText w:val="%1　"/>
      <w:lvlJc w:val="left"/>
    </w:lvl>
  </w:abstractNum>
  <w:abstractNum w:abstractNumId="7">
    <w:nsid w:val="8FC4EEDC"/>
    <w:multiLevelType w:val="singleLevel"/>
    <w:tmpl w:val="8FC4EEDC"/>
    <w:lvl w:ilvl="0" w:tentative="0">
      <w:start w:val="1"/>
      <w:numFmt w:val="decimal"/>
      <w:suff w:val="nothing"/>
      <w:lvlText w:val="%1　"/>
      <w:lvlJc w:val="left"/>
    </w:lvl>
  </w:abstractNum>
  <w:abstractNum w:abstractNumId="8">
    <w:nsid w:val="91ECEE50"/>
    <w:multiLevelType w:val="singleLevel"/>
    <w:tmpl w:val="91ECEE50"/>
    <w:lvl w:ilvl="0" w:tentative="0">
      <w:start w:val="1"/>
      <w:numFmt w:val="decimal"/>
      <w:suff w:val="nothing"/>
      <w:lvlText w:val="%1　"/>
      <w:lvlJc w:val="left"/>
    </w:lvl>
  </w:abstractNum>
  <w:abstractNum w:abstractNumId="9">
    <w:nsid w:val="959523EE"/>
    <w:multiLevelType w:val="singleLevel"/>
    <w:tmpl w:val="959523EE"/>
    <w:lvl w:ilvl="0" w:tentative="0">
      <w:start w:val="1"/>
      <w:numFmt w:val="decimal"/>
      <w:suff w:val="nothing"/>
      <w:lvlText w:val="%1　"/>
      <w:lvlJc w:val="left"/>
    </w:lvl>
  </w:abstractNum>
  <w:abstractNum w:abstractNumId="10">
    <w:nsid w:val="97C64E03"/>
    <w:multiLevelType w:val="singleLevel"/>
    <w:tmpl w:val="97C64E03"/>
    <w:lvl w:ilvl="0" w:tentative="0">
      <w:start w:val="1"/>
      <w:numFmt w:val="decimal"/>
      <w:suff w:val="nothing"/>
      <w:lvlText w:val="%1　"/>
      <w:lvlJc w:val="left"/>
    </w:lvl>
  </w:abstractNum>
  <w:abstractNum w:abstractNumId="11">
    <w:nsid w:val="9A001187"/>
    <w:multiLevelType w:val="singleLevel"/>
    <w:tmpl w:val="9A001187"/>
    <w:lvl w:ilvl="0" w:tentative="0">
      <w:start w:val="1"/>
      <w:numFmt w:val="decimal"/>
      <w:suff w:val="nothing"/>
      <w:lvlText w:val="%1　"/>
      <w:lvlJc w:val="left"/>
    </w:lvl>
  </w:abstractNum>
  <w:abstractNum w:abstractNumId="12">
    <w:nsid w:val="9B79F441"/>
    <w:multiLevelType w:val="singleLevel"/>
    <w:tmpl w:val="9B79F441"/>
    <w:lvl w:ilvl="0" w:tentative="0">
      <w:start w:val="1"/>
      <w:numFmt w:val="decimal"/>
      <w:suff w:val="nothing"/>
      <w:lvlText w:val="%1　"/>
      <w:lvlJc w:val="left"/>
    </w:lvl>
  </w:abstractNum>
  <w:abstractNum w:abstractNumId="13">
    <w:nsid w:val="9CEF1832"/>
    <w:multiLevelType w:val="singleLevel"/>
    <w:tmpl w:val="9CEF1832"/>
    <w:lvl w:ilvl="0" w:tentative="0">
      <w:start w:val="1"/>
      <w:numFmt w:val="decimal"/>
      <w:suff w:val="nothing"/>
      <w:lvlText w:val="%1　"/>
      <w:lvlJc w:val="left"/>
    </w:lvl>
  </w:abstractNum>
  <w:abstractNum w:abstractNumId="14">
    <w:nsid w:val="9D4C4839"/>
    <w:multiLevelType w:val="singleLevel"/>
    <w:tmpl w:val="9D4C4839"/>
    <w:lvl w:ilvl="0" w:tentative="0">
      <w:start w:val="1"/>
      <w:numFmt w:val="decimal"/>
      <w:suff w:val="nothing"/>
      <w:lvlText w:val="%1　"/>
      <w:lvlJc w:val="left"/>
    </w:lvl>
  </w:abstractNum>
  <w:abstractNum w:abstractNumId="15">
    <w:nsid w:val="A19C9512"/>
    <w:multiLevelType w:val="singleLevel"/>
    <w:tmpl w:val="A19C9512"/>
    <w:lvl w:ilvl="0" w:tentative="0">
      <w:start w:val="1"/>
      <w:numFmt w:val="decimal"/>
      <w:suff w:val="nothing"/>
      <w:lvlText w:val="%1　"/>
      <w:lvlJc w:val="left"/>
    </w:lvl>
  </w:abstractNum>
  <w:abstractNum w:abstractNumId="16">
    <w:nsid w:val="A54F99FF"/>
    <w:multiLevelType w:val="singleLevel"/>
    <w:tmpl w:val="A54F99FF"/>
    <w:lvl w:ilvl="0" w:tentative="0">
      <w:start w:val="1"/>
      <w:numFmt w:val="decimal"/>
      <w:suff w:val="nothing"/>
      <w:lvlText w:val="%1　"/>
      <w:lvlJc w:val="left"/>
    </w:lvl>
  </w:abstractNum>
  <w:abstractNum w:abstractNumId="17">
    <w:nsid w:val="A5C2DB0F"/>
    <w:multiLevelType w:val="singleLevel"/>
    <w:tmpl w:val="A5C2DB0F"/>
    <w:lvl w:ilvl="0" w:tentative="0">
      <w:start w:val="1"/>
      <w:numFmt w:val="decimal"/>
      <w:suff w:val="nothing"/>
      <w:lvlText w:val="%1　"/>
      <w:lvlJc w:val="left"/>
    </w:lvl>
  </w:abstractNum>
  <w:abstractNum w:abstractNumId="18">
    <w:nsid w:val="A96B233E"/>
    <w:multiLevelType w:val="singleLevel"/>
    <w:tmpl w:val="A96B233E"/>
    <w:lvl w:ilvl="0" w:tentative="0">
      <w:start w:val="1"/>
      <w:numFmt w:val="decimal"/>
      <w:suff w:val="nothing"/>
      <w:lvlText w:val="%1　"/>
      <w:lvlJc w:val="left"/>
    </w:lvl>
  </w:abstractNum>
  <w:abstractNum w:abstractNumId="19">
    <w:nsid w:val="AD21E3C7"/>
    <w:multiLevelType w:val="singleLevel"/>
    <w:tmpl w:val="AD21E3C7"/>
    <w:lvl w:ilvl="0" w:tentative="0">
      <w:start w:val="1"/>
      <w:numFmt w:val="decimal"/>
      <w:suff w:val="nothing"/>
      <w:lvlText w:val="%1　"/>
      <w:lvlJc w:val="left"/>
    </w:lvl>
  </w:abstractNum>
  <w:abstractNum w:abstractNumId="20">
    <w:nsid w:val="B22BFEAF"/>
    <w:multiLevelType w:val="singleLevel"/>
    <w:tmpl w:val="B22BFEAF"/>
    <w:lvl w:ilvl="0" w:tentative="0">
      <w:start w:val="1"/>
      <w:numFmt w:val="decimal"/>
      <w:suff w:val="nothing"/>
      <w:lvlText w:val="%1　"/>
      <w:lvlJc w:val="left"/>
    </w:lvl>
  </w:abstractNum>
  <w:abstractNum w:abstractNumId="21">
    <w:nsid w:val="B3CD1541"/>
    <w:multiLevelType w:val="singleLevel"/>
    <w:tmpl w:val="B3CD1541"/>
    <w:lvl w:ilvl="0" w:tentative="0">
      <w:start w:val="1"/>
      <w:numFmt w:val="decimal"/>
      <w:suff w:val="nothing"/>
      <w:lvlText w:val="%1　"/>
      <w:lvlJc w:val="left"/>
    </w:lvl>
  </w:abstractNum>
  <w:abstractNum w:abstractNumId="22">
    <w:nsid w:val="BAE4DC89"/>
    <w:multiLevelType w:val="singleLevel"/>
    <w:tmpl w:val="BAE4DC89"/>
    <w:lvl w:ilvl="0" w:tentative="0">
      <w:start w:val="1"/>
      <w:numFmt w:val="decimal"/>
      <w:suff w:val="nothing"/>
      <w:lvlText w:val="%1　"/>
      <w:lvlJc w:val="left"/>
    </w:lvl>
  </w:abstractNum>
  <w:abstractNum w:abstractNumId="23">
    <w:nsid w:val="C25D8274"/>
    <w:multiLevelType w:val="singleLevel"/>
    <w:tmpl w:val="C25D8274"/>
    <w:lvl w:ilvl="0" w:tentative="0">
      <w:start w:val="1"/>
      <w:numFmt w:val="decimal"/>
      <w:suff w:val="nothing"/>
      <w:lvlText w:val="%1　"/>
      <w:lvlJc w:val="left"/>
    </w:lvl>
  </w:abstractNum>
  <w:abstractNum w:abstractNumId="24">
    <w:nsid w:val="C491C1D5"/>
    <w:multiLevelType w:val="singleLevel"/>
    <w:tmpl w:val="C491C1D5"/>
    <w:lvl w:ilvl="0" w:tentative="0">
      <w:start w:val="1"/>
      <w:numFmt w:val="decimal"/>
      <w:suff w:val="nothing"/>
      <w:lvlText w:val="%1　"/>
      <w:lvlJc w:val="left"/>
    </w:lvl>
  </w:abstractNum>
  <w:abstractNum w:abstractNumId="25">
    <w:nsid w:val="C7BC0381"/>
    <w:multiLevelType w:val="singleLevel"/>
    <w:tmpl w:val="C7BC0381"/>
    <w:lvl w:ilvl="0" w:tentative="0">
      <w:start w:val="1"/>
      <w:numFmt w:val="decimal"/>
      <w:suff w:val="nothing"/>
      <w:lvlText w:val="%1　"/>
      <w:lvlJc w:val="left"/>
    </w:lvl>
  </w:abstractNum>
  <w:abstractNum w:abstractNumId="26">
    <w:nsid w:val="D07E0EF9"/>
    <w:multiLevelType w:val="singleLevel"/>
    <w:tmpl w:val="D07E0EF9"/>
    <w:lvl w:ilvl="0" w:tentative="0">
      <w:start w:val="1"/>
      <w:numFmt w:val="decimal"/>
      <w:suff w:val="nothing"/>
      <w:lvlText w:val="%1　"/>
      <w:lvlJc w:val="left"/>
    </w:lvl>
  </w:abstractNum>
  <w:abstractNum w:abstractNumId="27">
    <w:nsid w:val="D1E64760"/>
    <w:multiLevelType w:val="singleLevel"/>
    <w:tmpl w:val="D1E64760"/>
    <w:lvl w:ilvl="0" w:tentative="0">
      <w:start w:val="1"/>
      <w:numFmt w:val="decimal"/>
      <w:suff w:val="nothing"/>
      <w:lvlText w:val="%1　"/>
      <w:lvlJc w:val="left"/>
    </w:lvl>
  </w:abstractNum>
  <w:abstractNum w:abstractNumId="28">
    <w:nsid w:val="D2A1003D"/>
    <w:multiLevelType w:val="singleLevel"/>
    <w:tmpl w:val="D2A1003D"/>
    <w:lvl w:ilvl="0" w:tentative="0">
      <w:start w:val="1"/>
      <w:numFmt w:val="decimal"/>
      <w:suff w:val="nothing"/>
      <w:lvlText w:val="%1　"/>
      <w:lvlJc w:val="left"/>
    </w:lvl>
  </w:abstractNum>
  <w:abstractNum w:abstractNumId="29">
    <w:nsid w:val="D31BE648"/>
    <w:multiLevelType w:val="singleLevel"/>
    <w:tmpl w:val="D31BE648"/>
    <w:lvl w:ilvl="0" w:tentative="0">
      <w:start w:val="1"/>
      <w:numFmt w:val="decimal"/>
      <w:suff w:val="nothing"/>
      <w:lvlText w:val="%1　"/>
      <w:lvlJc w:val="left"/>
    </w:lvl>
  </w:abstractNum>
  <w:abstractNum w:abstractNumId="30">
    <w:nsid w:val="D628D3F6"/>
    <w:multiLevelType w:val="singleLevel"/>
    <w:tmpl w:val="D628D3F6"/>
    <w:lvl w:ilvl="0" w:tentative="0">
      <w:start w:val="1"/>
      <w:numFmt w:val="decimal"/>
      <w:suff w:val="nothing"/>
      <w:lvlText w:val="%1　"/>
      <w:lvlJc w:val="left"/>
    </w:lvl>
  </w:abstractNum>
  <w:abstractNum w:abstractNumId="31">
    <w:nsid w:val="DE3384D9"/>
    <w:multiLevelType w:val="singleLevel"/>
    <w:tmpl w:val="DE3384D9"/>
    <w:lvl w:ilvl="0" w:tentative="0">
      <w:start w:val="1"/>
      <w:numFmt w:val="decimal"/>
      <w:suff w:val="nothing"/>
      <w:lvlText w:val="%1　"/>
      <w:lvlJc w:val="left"/>
    </w:lvl>
  </w:abstractNum>
  <w:abstractNum w:abstractNumId="32">
    <w:nsid w:val="E73219A5"/>
    <w:multiLevelType w:val="singleLevel"/>
    <w:tmpl w:val="E73219A5"/>
    <w:lvl w:ilvl="0" w:tentative="0">
      <w:start w:val="1"/>
      <w:numFmt w:val="decimal"/>
      <w:suff w:val="nothing"/>
      <w:lvlText w:val="%1　"/>
      <w:lvlJc w:val="left"/>
    </w:lvl>
  </w:abstractNum>
  <w:abstractNum w:abstractNumId="33">
    <w:nsid w:val="EE5F3F9B"/>
    <w:multiLevelType w:val="singleLevel"/>
    <w:tmpl w:val="EE5F3F9B"/>
    <w:lvl w:ilvl="0" w:tentative="0">
      <w:start w:val="1"/>
      <w:numFmt w:val="decimal"/>
      <w:suff w:val="nothing"/>
      <w:lvlText w:val="%1　"/>
      <w:lvlJc w:val="left"/>
    </w:lvl>
  </w:abstractNum>
  <w:abstractNum w:abstractNumId="34">
    <w:nsid w:val="F29403AE"/>
    <w:multiLevelType w:val="singleLevel"/>
    <w:tmpl w:val="F29403AE"/>
    <w:lvl w:ilvl="0" w:tentative="0">
      <w:start w:val="1"/>
      <w:numFmt w:val="decimal"/>
      <w:suff w:val="nothing"/>
      <w:lvlText w:val="%1　"/>
      <w:lvlJc w:val="left"/>
    </w:lvl>
  </w:abstractNum>
  <w:abstractNum w:abstractNumId="35">
    <w:nsid w:val="F4642A23"/>
    <w:multiLevelType w:val="singleLevel"/>
    <w:tmpl w:val="F4642A23"/>
    <w:lvl w:ilvl="0" w:tentative="0">
      <w:start w:val="1"/>
      <w:numFmt w:val="decimal"/>
      <w:suff w:val="nothing"/>
      <w:lvlText w:val="%1　"/>
      <w:lvlJc w:val="left"/>
    </w:lvl>
  </w:abstractNum>
  <w:abstractNum w:abstractNumId="36">
    <w:nsid w:val="FA4916BB"/>
    <w:multiLevelType w:val="singleLevel"/>
    <w:tmpl w:val="FA4916BB"/>
    <w:lvl w:ilvl="0" w:tentative="0">
      <w:start w:val="1"/>
      <w:numFmt w:val="decimal"/>
      <w:suff w:val="nothing"/>
      <w:lvlText w:val="%1　"/>
      <w:lvlJc w:val="left"/>
    </w:lvl>
  </w:abstractNum>
  <w:abstractNum w:abstractNumId="37">
    <w:nsid w:val="FAF4A0FA"/>
    <w:multiLevelType w:val="singleLevel"/>
    <w:tmpl w:val="FAF4A0FA"/>
    <w:lvl w:ilvl="0" w:tentative="0">
      <w:start w:val="1"/>
      <w:numFmt w:val="decimal"/>
      <w:suff w:val="nothing"/>
      <w:lvlText w:val="%1　"/>
      <w:lvlJc w:val="left"/>
    </w:lvl>
  </w:abstractNum>
  <w:abstractNum w:abstractNumId="38">
    <w:nsid w:val="FBDE0B4A"/>
    <w:multiLevelType w:val="singleLevel"/>
    <w:tmpl w:val="FBDE0B4A"/>
    <w:lvl w:ilvl="0" w:tentative="0">
      <w:start w:val="1"/>
      <w:numFmt w:val="decimal"/>
      <w:suff w:val="nothing"/>
      <w:lvlText w:val="%1　"/>
      <w:lvlJc w:val="left"/>
    </w:lvl>
  </w:abstractNum>
  <w:abstractNum w:abstractNumId="39">
    <w:nsid w:val="FC300824"/>
    <w:multiLevelType w:val="singleLevel"/>
    <w:tmpl w:val="FC300824"/>
    <w:lvl w:ilvl="0" w:tentative="0">
      <w:start w:val="1"/>
      <w:numFmt w:val="decimal"/>
      <w:suff w:val="nothing"/>
      <w:lvlText w:val="%1　"/>
      <w:lvlJc w:val="left"/>
    </w:lvl>
  </w:abstractNum>
  <w:abstractNum w:abstractNumId="40">
    <w:nsid w:val="FD147137"/>
    <w:multiLevelType w:val="singleLevel"/>
    <w:tmpl w:val="FD147137"/>
    <w:lvl w:ilvl="0" w:tentative="0">
      <w:start w:val="1"/>
      <w:numFmt w:val="decimal"/>
      <w:suff w:val="nothing"/>
      <w:lvlText w:val="%1　"/>
      <w:lvlJc w:val="left"/>
    </w:lvl>
  </w:abstractNum>
  <w:abstractNum w:abstractNumId="41">
    <w:nsid w:val="FDF3BBE7"/>
    <w:multiLevelType w:val="singleLevel"/>
    <w:tmpl w:val="FDF3BBE7"/>
    <w:lvl w:ilvl="0" w:tentative="0">
      <w:start w:val="1"/>
      <w:numFmt w:val="decimal"/>
      <w:suff w:val="nothing"/>
      <w:lvlText w:val="%1　"/>
      <w:lvlJc w:val="left"/>
    </w:lvl>
  </w:abstractNum>
  <w:abstractNum w:abstractNumId="42">
    <w:nsid w:val="FF1CDD43"/>
    <w:multiLevelType w:val="singleLevel"/>
    <w:tmpl w:val="FF1CDD43"/>
    <w:lvl w:ilvl="0" w:tentative="0">
      <w:start w:val="1"/>
      <w:numFmt w:val="decimal"/>
      <w:suff w:val="nothing"/>
      <w:lvlText w:val="%1　"/>
      <w:lvlJc w:val="left"/>
    </w:lvl>
  </w:abstractNum>
  <w:abstractNum w:abstractNumId="43">
    <w:nsid w:val="01235E81"/>
    <w:multiLevelType w:val="singleLevel"/>
    <w:tmpl w:val="01235E81"/>
    <w:lvl w:ilvl="0" w:tentative="0">
      <w:start w:val="1"/>
      <w:numFmt w:val="decimal"/>
      <w:suff w:val="nothing"/>
      <w:lvlText w:val="%1　"/>
      <w:lvlJc w:val="left"/>
    </w:lvl>
  </w:abstractNum>
  <w:abstractNum w:abstractNumId="44">
    <w:nsid w:val="01354723"/>
    <w:multiLevelType w:val="singleLevel"/>
    <w:tmpl w:val="01354723"/>
    <w:lvl w:ilvl="0" w:tentative="0">
      <w:start w:val="1"/>
      <w:numFmt w:val="decimal"/>
      <w:suff w:val="nothing"/>
      <w:lvlText w:val="%1　"/>
      <w:lvlJc w:val="left"/>
    </w:lvl>
  </w:abstractNum>
  <w:abstractNum w:abstractNumId="45">
    <w:nsid w:val="040C106B"/>
    <w:multiLevelType w:val="singleLevel"/>
    <w:tmpl w:val="040C106B"/>
    <w:lvl w:ilvl="0" w:tentative="0">
      <w:start w:val="1"/>
      <w:numFmt w:val="decimal"/>
      <w:suff w:val="nothing"/>
      <w:lvlText w:val="%1　"/>
      <w:lvlJc w:val="left"/>
    </w:lvl>
  </w:abstractNum>
  <w:abstractNum w:abstractNumId="46">
    <w:nsid w:val="0645E596"/>
    <w:multiLevelType w:val="singleLevel"/>
    <w:tmpl w:val="0645E596"/>
    <w:lvl w:ilvl="0" w:tentative="0">
      <w:start w:val="1"/>
      <w:numFmt w:val="decimal"/>
      <w:suff w:val="nothing"/>
      <w:lvlText w:val="%1　"/>
      <w:lvlJc w:val="left"/>
    </w:lvl>
  </w:abstractNum>
  <w:abstractNum w:abstractNumId="47">
    <w:nsid w:val="087A652D"/>
    <w:multiLevelType w:val="multilevel"/>
    <w:tmpl w:val="087A652D"/>
    <w:lvl w:ilvl="0" w:tentative="0">
      <w:start w:val="1"/>
      <w:numFmt w:val="decimal"/>
      <w:suff w:val="nothing"/>
      <w:lvlText w:val="%1　"/>
      <w:lvlJc w:val="left"/>
      <w:pPr>
        <w:ind w:left="1129"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09EC1183"/>
    <w:multiLevelType w:val="singleLevel"/>
    <w:tmpl w:val="09EC1183"/>
    <w:lvl w:ilvl="0" w:tentative="0">
      <w:start w:val="1"/>
      <w:numFmt w:val="decimal"/>
      <w:suff w:val="nothing"/>
      <w:lvlText w:val="%1　"/>
      <w:lvlJc w:val="left"/>
    </w:lvl>
  </w:abstractNum>
  <w:abstractNum w:abstractNumId="49">
    <w:nsid w:val="0C7B4FD1"/>
    <w:multiLevelType w:val="singleLevel"/>
    <w:tmpl w:val="0C7B4FD1"/>
    <w:lvl w:ilvl="0" w:tentative="0">
      <w:start w:val="1"/>
      <w:numFmt w:val="decimal"/>
      <w:suff w:val="nothing"/>
      <w:lvlText w:val="%1　"/>
      <w:lvlJc w:val="left"/>
    </w:lvl>
  </w:abstractNum>
  <w:abstractNum w:abstractNumId="50">
    <w:nsid w:val="0F788B38"/>
    <w:multiLevelType w:val="singleLevel"/>
    <w:tmpl w:val="0F788B38"/>
    <w:lvl w:ilvl="0" w:tentative="0">
      <w:start w:val="1"/>
      <w:numFmt w:val="decimal"/>
      <w:suff w:val="nothing"/>
      <w:lvlText w:val="%1　"/>
      <w:lvlJc w:val="left"/>
    </w:lvl>
  </w:abstractNum>
  <w:abstractNum w:abstractNumId="51">
    <w:nsid w:val="141A644F"/>
    <w:multiLevelType w:val="multilevel"/>
    <w:tmpl w:val="141A644F"/>
    <w:lvl w:ilvl="0" w:tentative="0">
      <w:start w:val="1"/>
      <w:numFmt w:val="decimal"/>
      <w:lvlText w:val="%1"/>
      <w:lvlJc w:val="left"/>
      <w:pPr>
        <w:ind w:left="0" w:firstLine="0"/>
      </w:pPr>
      <w:rPr>
        <w:rFonts w:hint="default" w:ascii="黑体" w:hAnsi="黑体" w:eastAsia="黑体" w:cs="黑体"/>
      </w:rPr>
    </w:lvl>
    <w:lvl w:ilvl="1" w:tentative="0">
      <w:start w:val="0"/>
      <w:numFmt w:val="decimal"/>
      <w:lvlText w:val="%1.%2"/>
      <w:lvlJc w:val="left"/>
      <w:pPr>
        <w:ind w:left="0" w:firstLine="0"/>
      </w:pPr>
      <w:rPr>
        <w:rFonts w:hint="default" w:ascii="黑体" w:hAnsi="黑体" w:eastAsia="黑体" w:cs="黑体"/>
      </w:rPr>
    </w:lvl>
    <w:lvl w:ilvl="2" w:tentative="0">
      <w:start w:val="1"/>
      <w:numFmt w:val="decimal"/>
      <w:suff w:val="nothing"/>
      <w:lvlText w:val="1.0.%3"/>
      <w:lvlJc w:val="left"/>
      <w:pPr>
        <w:ind w:left="0" w:firstLine="0"/>
      </w:pPr>
      <w:rPr>
        <w:rFonts w:hint="eastAsia"/>
      </w:rPr>
    </w:lvl>
    <w:lvl w:ilvl="3" w:tentative="0">
      <w:start w:val="1"/>
      <w:numFmt w:val="decimal"/>
      <w:lvlText w:val="%1.%2.%3.%4"/>
      <w:lvlJc w:val="left"/>
      <w:pPr>
        <w:ind w:left="0" w:firstLine="0"/>
      </w:pPr>
      <w:rPr>
        <w:rFonts w:hint="default" w:ascii="黑体" w:hAnsi="黑体" w:eastAsia="黑体" w:cs="黑体"/>
      </w:rPr>
    </w:lvl>
    <w:lvl w:ilvl="4" w:tentative="0">
      <w:start w:val="1"/>
      <w:numFmt w:val="decimal"/>
      <w:lvlText w:val="%1.%2.%3.%4.%5"/>
      <w:lvlJc w:val="left"/>
      <w:pPr>
        <w:ind w:left="0" w:firstLine="0"/>
      </w:pPr>
      <w:rPr>
        <w:rFonts w:hint="default" w:ascii="黑体" w:hAnsi="黑体" w:eastAsia="黑体" w:cs="黑体"/>
      </w:rPr>
    </w:lvl>
    <w:lvl w:ilvl="5" w:tentative="0">
      <w:start w:val="1"/>
      <w:numFmt w:val="decimal"/>
      <w:lvlText w:val="%1.%2.%3.%4.%5.%6"/>
      <w:lvlJc w:val="left"/>
      <w:pPr>
        <w:ind w:left="0" w:firstLine="0"/>
      </w:pPr>
      <w:rPr>
        <w:rFonts w:hint="default" w:ascii="黑体" w:hAnsi="黑体" w:eastAsia="黑体" w:cs="黑体"/>
      </w:rPr>
    </w:lvl>
    <w:lvl w:ilvl="6" w:tentative="0">
      <w:start w:val="1"/>
      <w:numFmt w:val="decimal"/>
      <w:lvlText w:val="%1.%2.%3.%4.%5.%6.%7"/>
      <w:lvlJc w:val="left"/>
      <w:pPr>
        <w:ind w:left="0" w:firstLine="0"/>
      </w:pPr>
      <w:rPr>
        <w:rFonts w:hint="default" w:ascii="黑体" w:hAnsi="黑体" w:eastAsia="黑体" w:cs="黑体"/>
      </w:rPr>
    </w:lvl>
    <w:lvl w:ilvl="7" w:tentative="0">
      <w:start w:val="1"/>
      <w:numFmt w:val="decimal"/>
      <w:lvlText w:val="%1.%2.%3.%4.%5.%6.%7.%8"/>
      <w:lvlJc w:val="left"/>
      <w:pPr>
        <w:ind w:left="0" w:firstLine="0"/>
      </w:pPr>
      <w:rPr>
        <w:rFonts w:hint="default" w:ascii="黑体" w:hAnsi="黑体" w:eastAsia="黑体" w:cs="黑体"/>
      </w:rPr>
    </w:lvl>
    <w:lvl w:ilvl="8" w:tentative="0">
      <w:start w:val="1"/>
      <w:numFmt w:val="decimal"/>
      <w:lvlText w:val="%1.%2.%3.%4.%5.%6.%7.%8.%9"/>
      <w:lvlJc w:val="left"/>
      <w:pPr>
        <w:ind w:left="0" w:firstLine="0"/>
      </w:pPr>
      <w:rPr>
        <w:rFonts w:hint="default" w:ascii="黑体" w:hAnsi="黑体" w:eastAsia="黑体" w:cs="黑体"/>
      </w:rPr>
    </w:lvl>
  </w:abstractNum>
  <w:abstractNum w:abstractNumId="52">
    <w:nsid w:val="1466A8F1"/>
    <w:multiLevelType w:val="singleLevel"/>
    <w:tmpl w:val="1466A8F1"/>
    <w:lvl w:ilvl="0" w:tentative="0">
      <w:start w:val="1"/>
      <w:numFmt w:val="decimal"/>
      <w:suff w:val="nothing"/>
      <w:lvlText w:val="%1　"/>
      <w:lvlJc w:val="left"/>
    </w:lvl>
  </w:abstractNum>
  <w:abstractNum w:abstractNumId="53">
    <w:nsid w:val="148C7F29"/>
    <w:multiLevelType w:val="singleLevel"/>
    <w:tmpl w:val="148C7F29"/>
    <w:lvl w:ilvl="0" w:tentative="0">
      <w:start w:val="1"/>
      <w:numFmt w:val="decimal"/>
      <w:suff w:val="nothing"/>
      <w:lvlText w:val="%1　"/>
      <w:lvlJc w:val="left"/>
    </w:lvl>
  </w:abstractNum>
  <w:abstractNum w:abstractNumId="54">
    <w:nsid w:val="17A44331"/>
    <w:multiLevelType w:val="singleLevel"/>
    <w:tmpl w:val="17A44331"/>
    <w:lvl w:ilvl="0" w:tentative="0">
      <w:start w:val="1"/>
      <w:numFmt w:val="decimal"/>
      <w:suff w:val="nothing"/>
      <w:lvlText w:val="%1　"/>
      <w:lvlJc w:val="left"/>
    </w:lvl>
  </w:abstractNum>
  <w:abstractNum w:abstractNumId="55">
    <w:nsid w:val="17E8A6E1"/>
    <w:multiLevelType w:val="singleLevel"/>
    <w:tmpl w:val="17E8A6E1"/>
    <w:lvl w:ilvl="0" w:tentative="0">
      <w:start w:val="1"/>
      <w:numFmt w:val="decimal"/>
      <w:suff w:val="nothing"/>
      <w:lvlText w:val="%1　"/>
      <w:lvlJc w:val="left"/>
    </w:lvl>
  </w:abstractNum>
  <w:abstractNum w:abstractNumId="56">
    <w:nsid w:val="186040A8"/>
    <w:multiLevelType w:val="singleLevel"/>
    <w:tmpl w:val="186040A8"/>
    <w:lvl w:ilvl="0" w:tentative="0">
      <w:start w:val="1"/>
      <w:numFmt w:val="decimal"/>
      <w:suff w:val="nothing"/>
      <w:lvlText w:val="%1　"/>
      <w:lvlJc w:val="left"/>
    </w:lvl>
  </w:abstractNum>
  <w:abstractNum w:abstractNumId="57">
    <w:nsid w:val="1B607207"/>
    <w:multiLevelType w:val="singleLevel"/>
    <w:tmpl w:val="1B607207"/>
    <w:lvl w:ilvl="0" w:tentative="0">
      <w:start w:val="1"/>
      <w:numFmt w:val="decimal"/>
      <w:suff w:val="nothing"/>
      <w:lvlText w:val="%1　"/>
      <w:lvlJc w:val="left"/>
    </w:lvl>
  </w:abstractNum>
  <w:abstractNum w:abstractNumId="58">
    <w:nsid w:val="2271112E"/>
    <w:multiLevelType w:val="singleLevel"/>
    <w:tmpl w:val="2271112E"/>
    <w:lvl w:ilvl="0" w:tentative="0">
      <w:start w:val="1"/>
      <w:numFmt w:val="decimal"/>
      <w:suff w:val="nothing"/>
      <w:lvlText w:val="%1　"/>
      <w:lvlJc w:val="left"/>
    </w:lvl>
  </w:abstractNum>
  <w:abstractNum w:abstractNumId="59">
    <w:nsid w:val="2304EFFC"/>
    <w:multiLevelType w:val="singleLevel"/>
    <w:tmpl w:val="2304EFFC"/>
    <w:lvl w:ilvl="0" w:tentative="0">
      <w:start w:val="1"/>
      <w:numFmt w:val="decimal"/>
      <w:suff w:val="nothing"/>
      <w:lvlText w:val="%1　"/>
      <w:lvlJc w:val="left"/>
    </w:lvl>
  </w:abstractNum>
  <w:abstractNum w:abstractNumId="60">
    <w:nsid w:val="27FE6D0A"/>
    <w:multiLevelType w:val="singleLevel"/>
    <w:tmpl w:val="27FE6D0A"/>
    <w:lvl w:ilvl="0" w:tentative="0">
      <w:start w:val="1"/>
      <w:numFmt w:val="decimal"/>
      <w:suff w:val="nothing"/>
      <w:lvlText w:val="%1　"/>
      <w:lvlJc w:val="left"/>
    </w:lvl>
  </w:abstractNum>
  <w:abstractNum w:abstractNumId="61">
    <w:nsid w:val="2DEE9E5F"/>
    <w:multiLevelType w:val="singleLevel"/>
    <w:tmpl w:val="2DEE9E5F"/>
    <w:lvl w:ilvl="0" w:tentative="0">
      <w:start w:val="1"/>
      <w:numFmt w:val="decimal"/>
      <w:suff w:val="nothing"/>
      <w:lvlText w:val="%1　"/>
      <w:lvlJc w:val="left"/>
    </w:lvl>
  </w:abstractNum>
  <w:abstractNum w:abstractNumId="62">
    <w:nsid w:val="2FBCF014"/>
    <w:multiLevelType w:val="singleLevel"/>
    <w:tmpl w:val="2FBCF014"/>
    <w:lvl w:ilvl="0" w:tentative="0">
      <w:start w:val="1"/>
      <w:numFmt w:val="decimal"/>
      <w:suff w:val="nothing"/>
      <w:lvlText w:val="%1　"/>
      <w:lvlJc w:val="left"/>
    </w:lvl>
  </w:abstractNum>
  <w:abstractNum w:abstractNumId="63">
    <w:nsid w:val="345E6218"/>
    <w:multiLevelType w:val="singleLevel"/>
    <w:tmpl w:val="345E6218"/>
    <w:lvl w:ilvl="0" w:tentative="0">
      <w:start w:val="1"/>
      <w:numFmt w:val="decimal"/>
      <w:suff w:val="nothing"/>
      <w:lvlText w:val="%1　"/>
      <w:lvlJc w:val="left"/>
    </w:lvl>
  </w:abstractNum>
  <w:abstractNum w:abstractNumId="64">
    <w:nsid w:val="34DC8B57"/>
    <w:multiLevelType w:val="singleLevel"/>
    <w:tmpl w:val="34DC8B57"/>
    <w:lvl w:ilvl="0" w:tentative="0">
      <w:start w:val="1"/>
      <w:numFmt w:val="decimal"/>
      <w:suff w:val="nothing"/>
      <w:lvlText w:val="%1　"/>
      <w:lvlJc w:val="left"/>
    </w:lvl>
  </w:abstractNum>
  <w:abstractNum w:abstractNumId="65">
    <w:nsid w:val="3FFBA1CD"/>
    <w:multiLevelType w:val="singleLevel"/>
    <w:tmpl w:val="3FFBA1CD"/>
    <w:lvl w:ilvl="0" w:tentative="0">
      <w:start w:val="1"/>
      <w:numFmt w:val="decimal"/>
      <w:suff w:val="nothing"/>
      <w:lvlText w:val="%1　"/>
      <w:lvlJc w:val="left"/>
    </w:lvl>
  </w:abstractNum>
  <w:abstractNum w:abstractNumId="66">
    <w:nsid w:val="40D5FB12"/>
    <w:multiLevelType w:val="singleLevel"/>
    <w:tmpl w:val="40D5FB12"/>
    <w:lvl w:ilvl="0" w:tentative="0">
      <w:start w:val="1"/>
      <w:numFmt w:val="decimal"/>
      <w:suff w:val="nothing"/>
      <w:lvlText w:val="%1　"/>
      <w:lvlJc w:val="left"/>
    </w:lvl>
  </w:abstractNum>
  <w:abstractNum w:abstractNumId="67">
    <w:nsid w:val="4180B58C"/>
    <w:multiLevelType w:val="singleLevel"/>
    <w:tmpl w:val="4180B58C"/>
    <w:lvl w:ilvl="0" w:tentative="0">
      <w:start w:val="1"/>
      <w:numFmt w:val="decimal"/>
      <w:suff w:val="nothing"/>
      <w:lvlText w:val="%1　"/>
      <w:lvlJc w:val="left"/>
    </w:lvl>
  </w:abstractNum>
  <w:abstractNum w:abstractNumId="68">
    <w:nsid w:val="420E5357"/>
    <w:multiLevelType w:val="multilevel"/>
    <w:tmpl w:val="420E5357"/>
    <w:lvl w:ilvl="0" w:tentative="0">
      <w:start w:val="3"/>
      <w:numFmt w:val="decimal"/>
      <w:suff w:val="nothing"/>
      <w:lvlText w:val="%1　"/>
      <w:lvlJc w:val="left"/>
      <w:pPr>
        <w:ind w:left="1129"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64C9818"/>
    <w:multiLevelType w:val="singleLevel"/>
    <w:tmpl w:val="464C9818"/>
    <w:lvl w:ilvl="0" w:tentative="0">
      <w:start w:val="1"/>
      <w:numFmt w:val="decimal"/>
      <w:suff w:val="nothing"/>
      <w:lvlText w:val="%1　"/>
      <w:lvlJc w:val="left"/>
    </w:lvl>
  </w:abstractNum>
  <w:abstractNum w:abstractNumId="70">
    <w:nsid w:val="484E1E2B"/>
    <w:multiLevelType w:val="multilevel"/>
    <w:tmpl w:val="484E1E2B"/>
    <w:lvl w:ilvl="0" w:tentative="0">
      <w:start w:val="1"/>
      <w:numFmt w:val="decimal"/>
      <w:suff w:val="nothing"/>
      <w:lvlText w:val="%1　"/>
      <w:lvlJc w:val="left"/>
      <w:pPr>
        <w:ind w:left="840" w:hanging="420"/>
      </w:pPr>
      <w:rPr>
        <w:rFonts w:hint="eastAsia" w:ascii="宋体" w:hAnsi="宋体" w:eastAsia="宋体" w:cs="宋体"/>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71">
    <w:nsid w:val="49737EBD"/>
    <w:multiLevelType w:val="multilevel"/>
    <w:tmpl w:val="49737EBD"/>
    <w:lvl w:ilvl="0" w:tentative="0">
      <w:start w:val="1"/>
      <w:numFmt w:val="decimal"/>
      <w:suff w:val="nothing"/>
      <w:lvlText w:val="%1)"/>
      <w:lvlJc w:val="left"/>
      <w:pPr>
        <w:ind w:left="640" w:hanging="220"/>
      </w:pPr>
      <w:rPr>
        <w:rFonts w:hint="default"/>
      </w:rPr>
    </w:lvl>
    <w:lvl w:ilvl="1" w:tentative="0">
      <w:start w:val="1"/>
      <w:numFmt w:val="lowerLetter"/>
      <w:lvlText w:val="%2)"/>
      <w:lvlJc w:val="left"/>
      <w:pPr>
        <w:ind w:left="1669" w:hanging="480"/>
      </w:pPr>
    </w:lvl>
    <w:lvl w:ilvl="2" w:tentative="0">
      <w:start w:val="1"/>
      <w:numFmt w:val="lowerRoman"/>
      <w:lvlText w:val="%3."/>
      <w:lvlJc w:val="right"/>
      <w:pPr>
        <w:ind w:left="2149" w:hanging="480"/>
      </w:pPr>
    </w:lvl>
    <w:lvl w:ilvl="3" w:tentative="0">
      <w:start w:val="1"/>
      <w:numFmt w:val="decimal"/>
      <w:lvlText w:val="%4."/>
      <w:lvlJc w:val="left"/>
      <w:pPr>
        <w:ind w:left="2629" w:hanging="480"/>
      </w:pPr>
    </w:lvl>
    <w:lvl w:ilvl="4" w:tentative="0">
      <w:start w:val="1"/>
      <w:numFmt w:val="lowerLetter"/>
      <w:lvlText w:val="%5)"/>
      <w:lvlJc w:val="left"/>
      <w:pPr>
        <w:ind w:left="3109" w:hanging="480"/>
      </w:pPr>
    </w:lvl>
    <w:lvl w:ilvl="5" w:tentative="0">
      <w:start w:val="1"/>
      <w:numFmt w:val="lowerRoman"/>
      <w:lvlText w:val="%6."/>
      <w:lvlJc w:val="right"/>
      <w:pPr>
        <w:ind w:left="3589" w:hanging="480"/>
      </w:pPr>
    </w:lvl>
    <w:lvl w:ilvl="6" w:tentative="0">
      <w:start w:val="1"/>
      <w:numFmt w:val="decimal"/>
      <w:lvlText w:val="%7."/>
      <w:lvlJc w:val="left"/>
      <w:pPr>
        <w:ind w:left="4069" w:hanging="480"/>
      </w:pPr>
    </w:lvl>
    <w:lvl w:ilvl="7" w:tentative="0">
      <w:start w:val="1"/>
      <w:numFmt w:val="lowerLetter"/>
      <w:lvlText w:val="%8)"/>
      <w:lvlJc w:val="left"/>
      <w:pPr>
        <w:ind w:left="4549" w:hanging="480"/>
      </w:pPr>
    </w:lvl>
    <w:lvl w:ilvl="8" w:tentative="0">
      <w:start w:val="1"/>
      <w:numFmt w:val="lowerRoman"/>
      <w:lvlText w:val="%9."/>
      <w:lvlJc w:val="right"/>
      <w:pPr>
        <w:ind w:left="5029" w:hanging="480"/>
      </w:pPr>
    </w:lvl>
  </w:abstractNum>
  <w:abstractNum w:abstractNumId="72">
    <w:nsid w:val="4CDC1965"/>
    <w:multiLevelType w:val="singleLevel"/>
    <w:tmpl w:val="4CDC1965"/>
    <w:lvl w:ilvl="0" w:tentative="0">
      <w:start w:val="1"/>
      <w:numFmt w:val="decimal"/>
      <w:suff w:val="nothing"/>
      <w:lvlText w:val="%1　"/>
      <w:lvlJc w:val="left"/>
    </w:lvl>
  </w:abstractNum>
  <w:abstractNum w:abstractNumId="73">
    <w:nsid w:val="4D87B15E"/>
    <w:multiLevelType w:val="singleLevel"/>
    <w:tmpl w:val="4D87B15E"/>
    <w:lvl w:ilvl="0" w:tentative="0">
      <w:start w:val="1"/>
      <w:numFmt w:val="decimal"/>
      <w:suff w:val="nothing"/>
      <w:lvlText w:val="%1　"/>
      <w:lvlJc w:val="left"/>
    </w:lvl>
  </w:abstractNum>
  <w:abstractNum w:abstractNumId="74">
    <w:nsid w:val="4FF79DA0"/>
    <w:multiLevelType w:val="singleLevel"/>
    <w:tmpl w:val="4FF79DA0"/>
    <w:lvl w:ilvl="0" w:tentative="0">
      <w:start w:val="1"/>
      <w:numFmt w:val="decimal"/>
      <w:suff w:val="nothing"/>
      <w:lvlText w:val="%1　"/>
      <w:lvlJc w:val="left"/>
    </w:lvl>
  </w:abstractNum>
  <w:abstractNum w:abstractNumId="75">
    <w:nsid w:val="50C1B7B7"/>
    <w:multiLevelType w:val="singleLevel"/>
    <w:tmpl w:val="50C1B7B7"/>
    <w:lvl w:ilvl="0" w:tentative="0">
      <w:start w:val="1"/>
      <w:numFmt w:val="decimal"/>
      <w:suff w:val="nothing"/>
      <w:lvlText w:val="%1　"/>
      <w:lvlJc w:val="left"/>
    </w:lvl>
  </w:abstractNum>
  <w:abstractNum w:abstractNumId="76">
    <w:nsid w:val="586B4819"/>
    <w:multiLevelType w:val="multilevel"/>
    <w:tmpl w:val="586B4819"/>
    <w:lvl w:ilvl="0" w:tentative="0">
      <w:start w:val="1"/>
      <w:numFmt w:val="decimal"/>
      <w:lvlText w:val="%1"/>
      <w:lvlJc w:val="left"/>
      <w:pPr>
        <w:ind w:left="0" w:firstLine="0"/>
      </w:pPr>
      <w:rPr>
        <w:rFonts w:hint="default"/>
      </w:rPr>
    </w:lvl>
    <w:lvl w:ilvl="1" w:tentative="0">
      <w:start w:val="1"/>
      <w:numFmt w:val="decimal"/>
      <w:lvlText w:val="%1.%2"/>
      <w:lvlJc w:val="center"/>
      <w:pPr>
        <w:ind w:left="6095" w:firstLine="0"/>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suff w:val="nothing"/>
      <w:lvlText w:val="2.0.%3"/>
      <w:lvlJc w:val="left"/>
      <w:pPr>
        <w:ind w:left="0" w:firstLine="0"/>
      </w:pPr>
      <w:rPr>
        <w:rFonts w:hint="eastAsia" w:eastAsia="宋体" w:asciiTheme="minorEastAsia" w:hAnsiTheme="minorEastAsia"/>
        <w:b w:val="0"/>
        <w:i w:val="0"/>
        <w:iCs w:val="0"/>
        <w:caps w:val="0"/>
        <w:smallCaps w:val="0"/>
        <w:strike w:val="0"/>
        <w:dstrike w:val="0"/>
        <w:vanish w:val="0"/>
        <w:color w:val="00000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7">
    <w:nsid w:val="59B840D1"/>
    <w:multiLevelType w:val="singleLevel"/>
    <w:tmpl w:val="59B840D1"/>
    <w:lvl w:ilvl="0" w:tentative="0">
      <w:start w:val="1"/>
      <w:numFmt w:val="decimal"/>
      <w:suff w:val="nothing"/>
      <w:lvlText w:val="%1　"/>
      <w:lvlJc w:val="left"/>
    </w:lvl>
  </w:abstractNum>
  <w:abstractNum w:abstractNumId="78">
    <w:nsid w:val="5D956FC4"/>
    <w:multiLevelType w:val="singleLevel"/>
    <w:tmpl w:val="5D956FC4"/>
    <w:lvl w:ilvl="0" w:tentative="0">
      <w:start w:val="1"/>
      <w:numFmt w:val="decimal"/>
      <w:suff w:val="nothing"/>
      <w:lvlText w:val="%1　"/>
      <w:lvlJc w:val="left"/>
    </w:lvl>
  </w:abstractNum>
  <w:abstractNum w:abstractNumId="79">
    <w:nsid w:val="5ED392D9"/>
    <w:multiLevelType w:val="singleLevel"/>
    <w:tmpl w:val="5ED392D9"/>
    <w:lvl w:ilvl="0" w:tentative="0">
      <w:start w:val="1"/>
      <w:numFmt w:val="decimal"/>
      <w:suff w:val="nothing"/>
      <w:lvlText w:val="%1　"/>
      <w:lvlJc w:val="left"/>
    </w:lvl>
  </w:abstractNum>
  <w:abstractNum w:abstractNumId="80">
    <w:nsid w:val="60B97138"/>
    <w:multiLevelType w:val="singleLevel"/>
    <w:tmpl w:val="60B97138"/>
    <w:lvl w:ilvl="0" w:tentative="0">
      <w:start w:val="1"/>
      <w:numFmt w:val="decimal"/>
      <w:suff w:val="nothing"/>
      <w:lvlText w:val="%1　"/>
      <w:lvlJc w:val="left"/>
    </w:lvl>
  </w:abstractNum>
  <w:abstractNum w:abstractNumId="81">
    <w:nsid w:val="60CFB1A0"/>
    <w:multiLevelType w:val="singleLevel"/>
    <w:tmpl w:val="60CFB1A0"/>
    <w:lvl w:ilvl="0" w:tentative="0">
      <w:start w:val="1"/>
      <w:numFmt w:val="decimal"/>
      <w:suff w:val="nothing"/>
      <w:lvlText w:val="%1　"/>
      <w:lvlJc w:val="left"/>
    </w:lvl>
  </w:abstractNum>
  <w:abstractNum w:abstractNumId="82">
    <w:nsid w:val="611CE2F4"/>
    <w:multiLevelType w:val="singleLevel"/>
    <w:tmpl w:val="611CE2F4"/>
    <w:lvl w:ilvl="0" w:tentative="0">
      <w:start w:val="1"/>
      <w:numFmt w:val="decimal"/>
      <w:suff w:val="nothing"/>
      <w:lvlText w:val="%1　"/>
      <w:lvlJc w:val="left"/>
    </w:lvl>
  </w:abstractNum>
  <w:abstractNum w:abstractNumId="83">
    <w:nsid w:val="62446B2D"/>
    <w:multiLevelType w:val="singleLevel"/>
    <w:tmpl w:val="62446B2D"/>
    <w:lvl w:ilvl="0" w:tentative="0">
      <w:start w:val="1"/>
      <w:numFmt w:val="decimal"/>
      <w:suff w:val="nothing"/>
      <w:lvlText w:val="%1　"/>
      <w:lvlJc w:val="left"/>
    </w:lvl>
  </w:abstractNum>
  <w:abstractNum w:abstractNumId="84">
    <w:nsid w:val="63AEBCB4"/>
    <w:multiLevelType w:val="singleLevel"/>
    <w:tmpl w:val="63AEBCB4"/>
    <w:lvl w:ilvl="0" w:tentative="0">
      <w:start w:val="1"/>
      <w:numFmt w:val="decimal"/>
      <w:suff w:val="nothing"/>
      <w:lvlText w:val="%1　"/>
      <w:lvlJc w:val="left"/>
    </w:lvl>
  </w:abstractNum>
  <w:abstractNum w:abstractNumId="85">
    <w:nsid w:val="6412369C"/>
    <w:multiLevelType w:val="singleLevel"/>
    <w:tmpl w:val="6412369C"/>
    <w:lvl w:ilvl="0" w:tentative="0">
      <w:start w:val="1"/>
      <w:numFmt w:val="decimal"/>
      <w:suff w:val="nothing"/>
      <w:lvlText w:val="%1　"/>
      <w:lvlJc w:val="left"/>
    </w:lvl>
  </w:abstractNum>
  <w:abstractNum w:abstractNumId="86">
    <w:nsid w:val="6697E56F"/>
    <w:multiLevelType w:val="singleLevel"/>
    <w:tmpl w:val="6697E56F"/>
    <w:lvl w:ilvl="0" w:tentative="0">
      <w:start w:val="1"/>
      <w:numFmt w:val="decimal"/>
      <w:suff w:val="nothing"/>
      <w:lvlText w:val="%1　"/>
      <w:lvlJc w:val="left"/>
    </w:lvl>
  </w:abstractNum>
  <w:abstractNum w:abstractNumId="87">
    <w:nsid w:val="68B0650B"/>
    <w:multiLevelType w:val="multilevel"/>
    <w:tmpl w:val="68B0650B"/>
    <w:lvl w:ilvl="0" w:tentative="0">
      <w:start w:val="1"/>
      <w:numFmt w:val="decimal"/>
      <w:pStyle w:val="2"/>
      <w:suff w:val="nothing"/>
      <w:lvlText w:val="%1"/>
      <w:lvlJc w:val="left"/>
      <w:pPr>
        <w:ind w:left="357" w:hanging="357"/>
      </w:pPr>
      <w:rPr>
        <w:rFonts w:hint="eastAsia" w:ascii="黑体" w:hAnsi="黑体" w:eastAsia="黑体"/>
        <w:i w:val="0"/>
        <w:sz w:val="32"/>
      </w:rPr>
    </w:lvl>
    <w:lvl w:ilvl="1" w:tentative="0">
      <w:start w:val="1"/>
      <w:numFmt w:val="decimal"/>
      <w:pStyle w:val="3"/>
      <w:isLgl/>
      <w:suff w:val="nothing"/>
      <w:lvlText w:val="%1.%2"/>
      <w:lvlJc w:val="left"/>
      <w:pPr>
        <w:ind w:left="0" w:firstLine="0"/>
      </w:pPr>
      <w:rPr>
        <w:rFonts w:hint="eastAsia" w:ascii="黑体" w:hAnsi="黑体" w:eastAsia="黑体"/>
        <w:b w:val="0"/>
        <w:bCs w:val="0"/>
        <w:i w:val="0"/>
        <w:iCs w:val="0"/>
        <w:caps w:val="0"/>
        <w:smallCaps w:val="0"/>
        <w:strike w:val="0"/>
        <w:dstrike w:val="0"/>
        <w:vanish w:val="0"/>
        <w:spacing w:val="0"/>
        <w:kern w:val="0"/>
        <w:position w:val="0"/>
        <w:u w:val="none"/>
        <w:vertAlign w:val="baseline"/>
        <w14:ligatures w14:val="none"/>
        <w14:numForm w14:val="default"/>
        <w14:numSpacing w14:val="default"/>
      </w:rPr>
    </w:lvl>
    <w:lvl w:ilvl="2" w:tentative="0">
      <w:start w:val="1"/>
      <w:numFmt w:val="decimal"/>
      <w:pStyle w:val="4"/>
      <w:isLgl/>
      <w:suff w:val="nothing"/>
      <w:lvlText w:val="%1.%2.%3"/>
      <w:lvlJc w:val="left"/>
      <w:pPr>
        <w:ind w:left="0" w:firstLine="0"/>
      </w:pPr>
      <w:rPr>
        <w:rFonts w:hint="default"/>
        <w:b w:val="0"/>
        <w:bCs w:val="0"/>
        <w:i w:val="0"/>
        <w:iCs w:val="0"/>
        <w:caps w:val="0"/>
        <w:smallCaps w:val="0"/>
        <w:strike w:val="0"/>
        <w:dstrike w:val="0"/>
        <w:vanish w:val="0"/>
        <w:color w:val="auto"/>
        <w:spacing w:val="0"/>
        <w:position w:val="0"/>
        <w:u w:val="none"/>
        <w:vertAlign w:val="baseline"/>
        <w14:ligatures w14:val="none"/>
        <w14:numForm w14:val="default"/>
        <w14:numSpacing w14:val="default"/>
      </w:rPr>
    </w:lvl>
    <w:lvl w:ilvl="3" w:tentative="0">
      <w:start w:val="1"/>
      <w:numFmt w:val="decimal"/>
      <w:isLgl/>
      <w:lvlText w:val="%1.%2.%3.%4"/>
      <w:lvlJc w:val="left"/>
      <w:pPr>
        <w:tabs>
          <w:tab w:val="left" w:pos="823"/>
        </w:tabs>
        <w:ind w:left="993" w:hanging="851"/>
      </w:pPr>
      <w:rPr>
        <w:rFonts w:hint="eastAsia"/>
      </w:rPr>
    </w:lvl>
    <w:lvl w:ilvl="4" w:tentative="0">
      <w:start w:val="1"/>
      <w:numFmt w:val="decimal"/>
      <w:isLgl/>
      <w:lvlText w:val="%1.%2.%3.%4.%5"/>
      <w:lvlJc w:val="left"/>
      <w:pPr>
        <w:ind w:left="1134" w:hanging="283"/>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88">
    <w:nsid w:val="6C186B9F"/>
    <w:multiLevelType w:val="singleLevel"/>
    <w:tmpl w:val="6C186B9F"/>
    <w:lvl w:ilvl="0" w:tentative="0">
      <w:start w:val="1"/>
      <w:numFmt w:val="decimal"/>
      <w:suff w:val="nothing"/>
      <w:lvlText w:val="%1　"/>
      <w:lvlJc w:val="left"/>
    </w:lvl>
  </w:abstractNum>
  <w:abstractNum w:abstractNumId="89">
    <w:nsid w:val="6F7B24E2"/>
    <w:multiLevelType w:val="singleLevel"/>
    <w:tmpl w:val="6F7B24E2"/>
    <w:lvl w:ilvl="0" w:tentative="0">
      <w:start w:val="1"/>
      <w:numFmt w:val="decimal"/>
      <w:suff w:val="nothing"/>
      <w:lvlText w:val="%1　"/>
      <w:lvlJc w:val="left"/>
    </w:lvl>
  </w:abstractNum>
  <w:abstractNum w:abstractNumId="90">
    <w:nsid w:val="71B46C4F"/>
    <w:multiLevelType w:val="singleLevel"/>
    <w:tmpl w:val="71B46C4F"/>
    <w:lvl w:ilvl="0" w:tentative="0">
      <w:start w:val="1"/>
      <w:numFmt w:val="decimal"/>
      <w:suff w:val="nothing"/>
      <w:lvlText w:val="%1　"/>
      <w:lvlJc w:val="left"/>
    </w:lvl>
  </w:abstractNum>
  <w:abstractNum w:abstractNumId="91">
    <w:nsid w:val="78122BD8"/>
    <w:multiLevelType w:val="singleLevel"/>
    <w:tmpl w:val="78122BD8"/>
    <w:lvl w:ilvl="0" w:tentative="0">
      <w:start w:val="1"/>
      <w:numFmt w:val="decimal"/>
      <w:suff w:val="nothing"/>
      <w:lvlText w:val="%1　"/>
      <w:lvlJc w:val="left"/>
    </w:lvl>
  </w:abstractNum>
  <w:abstractNum w:abstractNumId="92">
    <w:nsid w:val="798B2E63"/>
    <w:multiLevelType w:val="singleLevel"/>
    <w:tmpl w:val="798B2E63"/>
    <w:lvl w:ilvl="0" w:tentative="0">
      <w:start w:val="1"/>
      <w:numFmt w:val="decimal"/>
      <w:suff w:val="nothing"/>
      <w:lvlText w:val="%1　"/>
      <w:lvlJc w:val="left"/>
    </w:lvl>
  </w:abstractNum>
  <w:abstractNum w:abstractNumId="93">
    <w:nsid w:val="7BE8EA02"/>
    <w:multiLevelType w:val="singleLevel"/>
    <w:tmpl w:val="7BE8EA02"/>
    <w:lvl w:ilvl="0" w:tentative="0">
      <w:start w:val="1"/>
      <w:numFmt w:val="decimal"/>
      <w:suff w:val="nothing"/>
      <w:lvlText w:val="%1　"/>
      <w:lvlJc w:val="left"/>
    </w:lvl>
  </w:abstractNum>
  <w:abstractNum w:abstractNumId="94">
    <w:nsid w:val="7FA6D598"/>
    <w:multiLevelType w:val="singleLevel"/>
    <w:tmpl w:val="7FA6D598"/>
    <w:lvl w:ilvl="0" w:tentative="0">
      <w:start w:val="1"/>
      <w:numFmt w:val="decimal"/>
      <w:suff w:val="nothing"/>
      <w:lvlText w:val="%1　"/>
      <w:lvlJc w:val="left"/>
    </w:lvl>
  </w:abstractNum>
  <w:abstractNum w:abstractNumId="95">
    <w:nsid w:val="7FBE7A10"/>
    <w:multiLevelType w:val="singleLevel"/>
    <w:tmpl w:val="7FBE7A10"/>
    <w:lvl w:ilvl="0" w:tentative="0">
      <w:start w:val="1"/>
      <w:numFmt w:val="decimal"/>
      <w:suff w:val="nothing"/>
      <w:lvlText w:val="%1　"/>
      <w:lvlJc w:val="left"/>
    </w:lvl>
  </w:abstractNum>
  <w:num w:numId="1">
    <w:abstractNumId w:val="87"/>
  </w:num>
  <w:num w:numId="2">
    <w:abstractNumId w:val="51"/>
  </w:num>
  <w:num w:numId="3">
    <w:abstractNumId w:val="76"/>
  </w:num>
  <w:num w:numId="4">
    <w:abstractNumId w:val="37"/>
  </w:num>
  <w:num w:numId="5">
    <w:abstractNumId w:val="75"/>
  </w:num>
  <w:num w:numId="6">
    <w:abstractNumId w:val="24"/>
  </w:num>
  <w:num w:numId="7">
    <w:abstractNumId w:val="80"/>
  </w:num>
  <w:num w:numId="8">
    <w:abstractNumId w:val="36"/>
  </w:num>
  <w:num w:numId="9">
    <w:abstractNumId w:val="13"/>
  </w:num>
  <w:num w:numId="10">
    <w:abstractNumId w:val="48"/>
  </w:num>
  <w:num w:numId="11">
    <w:abstractNumId w:val="59"/>
  </w:num>
  <w:num w:numId="12">
    <w:abstractNumId w:val="66"/>
  </w:num>
  <w:num w:numId="13">
    <w:abstractNumId w:val="17"/>
  </w:num>
  <w:num w:numId="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85"/>
  </w:num>
  <w:num w:numId="18">
    <w:abstractNumId w:val="86"/>
  </w:num>
  <w:num w:numId="19">
    <w:abstractNumId w:val="91"/>
  </w:num>
  <w:num w:numId="20">
    <w:abstractNumId w:val="14"/>
  </w:num>
  <w:num w:numId="21">
    <w:abstractNumId w:val="74"/>
  </w:num>
  <w:num w:numId="22">
    <w:abstractNumId w:val="44"/>
  </w:num>
  <w:num w:numId="23">
    <w:abstractNumId w:val="62"/>
  </w:num>
  <w:num w:numId="24">
    <w:abstractNumId w:val="3"/>
  </w:num>
  <w:num w:numId="25">
    <w:abstractNumId w:val="26"/>
  </w:num>
  <w:num w:numId="26">
    <w:abstractNumId w:val="30"/>
  </w:num>
  <w:num w:numId="27">
    <w:abstractNumId w:val="42"/>
  </w:num>
  <w:num w:numId="28">
    <w:abstractNumId w:val="57"/>
  </w:num>
  <w:num w:numId="29">
    <w:abstractNumId w:val="27"/>
  </w:num>
  <w:num w:numId="30">
    <w:abstractNumId w:val="8"/>
  </w:num>
  <w:num w:numId="31">
    <w:abstractNumId w:val="52"/>
  </w:num>
  <w:num w:numId="32">
    <w:abstractNumId w:val="34"/>
  </w:num>
  <w:num w:numId="33">
    <w:abstractNumId w:val="90"/>
  </w:num>
  <w:num w:numId="34">
    <w:abstractNumId w:val="84"/>
  </w:num>
  <w:num w:numId="35">
    <w:abstractNumId w:val="64"/>
  </w:num>
  <w:num w:numId="36">
    <w:abstractNumId w:val="7"/>
  </w:num>
  <w:num w:numId="37">
    <w:abstractNumId w:val="79"/>
  </w:num>
  <w:num w:numId="38">
    <w:abstractNumId w:val="50"/>
  </w:num>
  <w:num w:numId="39">
    <w:abstractNumId w:val="72"/>
  </w:num>
  <w:num w:numId="40">
    <w:abstractNumId w:val="45"/>
  </w:num>
  <w:num w:numId="41">
    <w:abstractNumId w:val="9"/>
  </w:num>
  <w:num w:numId="42">
    <w:abstractNumId w:val="11"/>
  </w:num>
  <w:num w:numId="43">
    <w:abstractNumId w:val="70"/>
  </w:num>
  <w:num w:numId="44">
    <w:abstractNumId w:val="43"/>
  </w:num>
  <w:num w:numId="45">
    <w:abstractNumId w:val="77"/>
  </w:num>
  <w:num w:numId="46">
    <w:abstractNumId w:val="33"/>
  </w:num>
  <w:num w:numId="47">
    <w:abstractNumId w:val="22"/>
  </w:num>
  <w:num w:numId="48">
    <w:abstractNumId w:val="94"/>
  </w:num>
  <w:num w:numId="49">
    <w:abstractNumId w:val="21"/>
  </w:num>
  <w:num w:numId="50">
    <w:abstractNumId w:val="4"/>
  </w:num>
  <w:num w:numId="51">
    <w:abstractNumId w:val="2"/>
  </w:num>
  <w:num w:numId="52">
    <w:abstractNumId w:val="25"/>
  </w:num>
  <w:num w:numId="53">
    <w:abstractNumId w:val="35"/>
  </w:num>
  <w:num w:numId="54">
    <w:abstractNumId w:val="18"/>
  </w:num>
  <w:num w:numId="55">
    <w:abstractNumId w:val="0"/>
  </w:num>
  <w:num w:numId="56">
    <w:abstractNumId w:val="89"/>
  </w:num>
  <w:num w:numId="57">
    <w:abstractNumId w:val="32"/>
  </w:num>
  <w:num w:numId="58">
    <w:abstractNumId w:val="67"/>
  </w:num>
  <w:num w:numId="59">
    <w:abstractNumId w:val="5"/>
  </w:num>
  <w:num w:numId="60">
    <w:abstractNumId w:val="46"/>
  </w:num>
  <w:num w:numId="61">
    <w:abstractNumId w:val="15"/>
  </w:num>
  <w:num w:numId="62">
    <w:abstractNumId w:val="10"/>
  </w:num>
  <w:num w:numId="63">
    <w:abstractNumId w:val="55"/>
  </w:num>
  <w:num w:numId="64">
    <w:abstractNumId w:val="12"/>
  </w:num>
  <w:num w:numId="65">
    <w:abstractNumId w:val="6"/>
  </w:num>
  <w:num w:numId="66">
    <w:abstractNumId w:val="61"/>
  </w:num>
  <w:num w:numId="67">
    <w:abstractNumId w:val="63"/>
  </w:num>
  <w:num w:numId="68">
    <w:abstractNumId w:val="54"/>
  </w:num>
  <w:num w:numId="69">
    <w:abstractNumId w:val="69"/>
  </w:num>
  <w:num w:numId="70">
    <w:abstractNumId w:val="92"/>
  </w:num>
  <w:num w:numId="71">
    <w:abstractNumId w:val="60"/>
  </w:num>
  <w:num w:numId="72">
    <w:abstractNumId w:val="65"/>
  </w:num>
  <w:num w:numId="73">
    <w:abstractNumId w:val="82"/>
  </w:num>
  <w:num w:numId="74">
    <w:abstractNumId w:val="31"/>
  </w:num>
  <w:num w:numId="75">
    <w:abstractNumId w:val="58"/>
  </w:num>
  <w:num w:numId="76">
    <w:abstractNumId w:val="56"/>
  </w:num>
  <w:num w:numId="77">
    <w:abstractNumId w:val="53"/>
  </w:num>
  <w:num w:numId="78">
    <w:abstractNumId w:val="28"/>
  </w:num>
  <w:num w:numId="79">
    <w:abstractNumId w:val="78"/>
  </w:num>
  <w:num w:numId="80">
    <w:abstractNumId w:val="41"/>
  </w:num>
  <w:num w:numId="81">
    <w:abstractNumId w:val="40"/>
  </w:num>
  <w:num w:numId="82">
    <w:abstractNumId w:val="81"/>
  </w:num>
  <w:num w:numId="83">
    <w:abstractNumId w:val="83"/>
  </w:num>
  <w:num w:numId="84">
    <w:abstractNumId w:val="20"/>
  </w:num>
  <w:num w:numId="85">
    <w:abstractNumId w:val="39"/>
  </w:num>
  <w:num w:numId="86">
    <w:abstractNumId w:val="23"/>
  </w:num>
  <w:num w:numId="87">
    <w:abstractNumId w:val="29"/>
  </w:num>
  <w:num w:numId="88">
    <w:abstractNumId w:val="88"/>
  </w:num>
  <w:num w:numId="89">
    <w:abstractNumId w:val="49"/>
  </w:num>
  <w:num w:numId="90">
    <w:abstractNumId w:val="1"/>
  </w:num>
  <w:num w:numId="91">
    <w:abstractNumId w:val="73"/>
  </w:num>
  <w:num w:numId="92">
    <w:abstractNumId w:val="38"/>
  </w:num>
  <w:num w:numId="93">
    <w:abstractNumId w:val="93"/>
  </w:num>
  <w:num w:numId="94">
    <w:abstractNumId w:val="95"/>
  </w:num>
  <w:num w:numId="95">
    <w:abstractNumId w:val="71"/>
  </w:num>
  <w:num w:numId="96">
    <w:abstractNumId w:val="47"/>
  </w:num>
  <w:num w:numId="9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YzQ3MmM0OGU1N2Y2NzFhZTVkMjM1MDBiODViMDQifQ=="/>
  </w:docVars>
  <w:rsids>
    <w:rsidRoot w:val="FB9F0CB6"/>
    <w:rsid w:val="00062FA2"/>
    <w:rsid w:val="000B6A59"/>
    <w:rsid w:val="00104333"/>
    <w:rsid w:val="0019787C"/>
    <w:rsid w:val="001A048F"/>
    <w:rsid w:val="002A6A7B"/>
    <w:rsid w:val="002D355B"/>
    <w:rsid w:val="00404246"/>
    <w:rsid w:val="004231CC"/>
    <w:rsid w:val="004F7468"/>
    <w:rsid w:val="005418EB"/>
    <w:rsid w:val="00557126"/>
    <w:rsid w:val="006D6F12"/>
    <w:rsid w:val="0071167F"/>
    <w:rsid w:val="00715558"/>
    <w:rsid w:val="007B4F1A"/>
    <w:rsid w:val="007C1213"/>
    <w:rsid w:val="007D3D1F"/>
    <w:rsid w:val="007E2206"/>
    <w:rsid w:val="00810FF6"/>
    <w:rsid w:val="00840177"/>
    <w:rsid w:val="008471EE"/>
    <w:rsid w:val="008C0E2C"/>
    <w:rsid w:val="009B5CF1"/>
    <w:rsid w:val="00A47C8A"/>
    <w:rsid w:val="00A92530"/>
    <w:rsid w:val="00AB4380"/>
    <w:rsid w:val="00AD5A3B"/>
    <w:rsid w:val="00AF4EC1"/>
    <w:rsid w:val="00B22D3B"/>
    <w:rsid w:val="00B560AE"/>
    <w:rsid w:val="00C02582"/>
    <w:rsid w:val="00C82279"/>
    <w:rsid w:val="00C84572"/>
    <w:rsid w:val="00CB2C20"/>
    <w:rsid w:val="00CC3223"/>
    <w:rsid w:val="00D203B2"/>
    <w:rsid w:val="00DB28F8"/>
    <w:rsid w:val="00E2446E"/>
    <w:rsid w:val="00E47908"/>
    <w:rsid w:val="00EF74A5"/>
    <w:rsid w:val="00F14A19"/>
    <w:rsid w:val="00F43398"/>
    <w:rsid w:val="00F43B1C"/>
    <w:rsid w:val="01CC67EE"/>
    <w:rsid w:val="0741235F"/>
    <w:rsid w:val="08634780"/>
    <w:rsid w:val="092403B3"/>
    <w:rsid w:val="0A4651F4"/>
    <w:rsid w:val="0A5C1B8B"/>
    <w:rsid w:val="0A8A2F23"/>
    <w:rsid w:val="0B6902FF"/>
    <w:rsid w:val="0BDE24DB"/>
    <w:rsid w:val="0C0252F9"/>
    <w:rsid w:val="0C284F5C"/>
    <w:rsid w:val="0CBD749A"/>
    <w:rsid w:val="0CD802A8"/>
    <w:rsid w:val="0E8C55FE"/>
    <w:rsid w:val="0EC814BA"/>
    <w:rsid w:val="0ED57DF5"/>
    <w:rsid w:val="0EEB247F"/>
    <w:rsid w:val="0F5D4619"/>
    <w:rsid w:val="10AC3EE9"/>
    <w:rsid w:val="1193156C"/>
    <w:rsid w:val="11C52119"/>
    <w:rsid w:val="12F618E6"/>
    <w:rsid w:val="13DA13B6"/>
    <w:rsid w:val="15E71EEE"/>
    <w:rsid w:val="1A034F12"/>
    <w:rsid w:val="1BED0CB1"/>
    <w:rsid w:val="1E7D720B"/>
    <w:rsid w:val="1EB614FF"/>
    <w:rsid w:val="1EC13AB3"/>
    <w:rsid w:val="22FB56F8"/>
    <w:rsid w:val="23A72402"/>
    <w:rsid w:val="25364AA5"/>
    <w:rsid w:val="285B2FA7"/>
    <w:rsid w:val="29262983"/>
    <w:rsid w:val="299432F7"/>
    <w:rsid w:val="2A0A4C62"/>
    <w:rsid w:val="2CA8242A"/>
    <w:rsid w:val="2CE61358"/>
    <w:rsid w:val="2D360157"/>
    <w:rsid w:val="2D7B1A0E"/>
    <w:rsid w:val="31677434"/>
    <w:rsid w:val="330A7ED2"/>
    <w:rsid w:val="335249F9"/>
    <w:rsid w:val="33B75611"/>
    <w:rsid w:val="35C906C0"/>
    <w:rsid w:val="37160AAA"/>
    <w:rsid w:val="372822EE"/>
    <w:rsid w:val="37C711C1"/>
    <w:rsid w:val="37FA2FEF"/>
    <w:rsid w:val="38C322E9"/>
    <w:rsid w:val="3A410C43"/>
    <w:rsid w:val="3A5A5AC4"/>
    <w:rsid w:val="3B670F83"/>
    <w:rsid w:val="3BFE276A"/>
    <w:rsid w:val="3C722D84"/>
    <w:rsid w:val="3C9468FF"/>
    <w:rsid w:val="3DC63B91"/>
    <w:rsid w:val="3ED01CC0"/>
    <w:rsid w:val="3F407B97"/>
    <w:rsid w:val="3FC37149"/>
    <w:rsid w:val="416614DA"/>
    <w:rsid w:val="41AA3640"/>
    <w:rsid w:val="44417C61"/>
    <w:rsid w:val="469B78E4"/>
    <w:rsid w:val="49777236"/>
    <w:rsid w:val="4A4F3600"/>
    <w:rsid w:val="4A943E48"/>
    <w:rsid w:val="4BEE047E"/>
    <w:rsid w:val="4D6E04AE"/>
    <w:rsid w:val="4EB7373B"/>
    <w:rsid w:val="4F157B71"/>
    <w:rsid w:val="4F811E9C"/>
    <w:rsid w:val="4FE13878"/>
    <w:rsid w:val="506E38D6"/>
    <w:rsid w:val="50724B2D"/>
    <w:rsid w:val="515B1059"/>
    <w:rsid w:val="52DE5F7F"/>
    <w:rsid w:val="53CF1B77"/>
    <w:rsid w:val="559E334C"/>
    <w:rsid w:val="56E16569"/>
    <w:rsid w:val="57102BEC"/>
    <w:rsid w:val="57D73960"/>
    <w:rsid w:val="5809504E"/>
    <w:rsid w:val="5A066B8A"/>
    <w:rsid w:val="5ACE22E2"/>
    <w:rsid w:val="5DD07F89"/>
    <w:rsid w:val="5FF21970"/>
    <w:rsid w:val="60C148F3"/>
    <w:rsid w:val="60D1614B"/>
    <w:rsid w:val="60DC2194"/>
    <w:rsid w:val="611A62C6"/>
    <w:rsid w:val="612D4403"/>
    <w:rsid w:val="625D562C"/>
    <w:rsid w:val="65035652"/>
    <w:rsid w:val="65B6318F"/>
    <w:rsid w:val="66911CC0"/>
    <w:rsid w:val="67C4482B"/>
    <w:rsid w:val="67D55CA7"/>
    <w:rsid w:val="680538B6"/>
    <w:rsid w:val="682D37D3"/>
    <w:rsid w:val="68B150D2"/>
    <w:rsid w:val="68BC66DD"/>
    <w:rsid w:val="69211ADC"/>
    <w:rsid w:val="6A7C7F34"/>
    <w:rsid w:val="6AFE6A4A"/>
    <w:rsid w:val="6B6434A0"/>
    <w:rsid w:val="6C2551D7"/>
    <w:rsid w:val="6D2C7A99"/>
    <w:rsid w:val="6E25568D"/>
    <w:rsid w:val="6E8150E9"/>
    <w:rsid w:val="6FFC83CD"/>
    <w:rsid w:val="70EC6300"/>
    <w:rsid w:val="71991AE6"/>
    <w:rsid w:val="73726D60"/>
    <w:rsid w:val="74BB4E5B"/>
    <w:rsid w:val="75120DD1"/>
    <w:rsid w:val="75603863"/>
    <w:rsid w:val="76F52E1E"/>
    <w:rsid w:val="77DF5EDB"/>
    <w:rsid w:val="788C3977"/>
    <w:rsid w:val="78932851"/>
    <w:rsid w:val="78F516EA"/>
    <w:rsid w:val="7D1D09CD"/>
    <w:rsid w:val="7EF72F94"/>
    <w:rsid w:val="7F1EC137"/>
    <w:rsid w:val="7F9D3F5A"/>
    <w:rsid w:val="7FDF153C"/>
    <w:rsid w:val="95FE9316"/>
    <w:rsid w:val="AFFDBE29"/>
    <w:rsid w:val="FB9F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pageBreakBefore/>
      <w:numPr>
        <w:ilvl w:val="0"/>
        <w:numId w:val="1"/>
      </w:numPr>
      <w:spacing w:line="480" w:lineRule="auto"/>
      <w:ind w:firstLine="0" w:firstLineChars="0"/>
      <w:jc w:val="center"/>
      <w:outlineLvl w:val="0"/>
    </w:pPr>
    <w:rPr>
      <w:rFonts w:ascii="黑体" w:hAnsi="黑体" w:eastAsia="黑体"/>
      <w:bCs/>
      <w:kern w:val="44"/>
      <w:sz w:val="32"/>
      <w:szCs w:val="44"/>
      <w:lang w:val="en-AU"/>
    </w:rPr>
  </w:style>
  <w:style w:type="paragraph" w:styleId="3">
    <w:name w:val="heading 2"/>
    <w:basedOn w:val="1"/>
    <w:next w:val="1"/>
    <w:unhideWhenUsed/>
    <w:qFormat/>
    <w:uiPriority w:val="0"/>
    <w:pPr>
      <w:keepNext/>
      <w:keepLines/>
      <w:numPr>
        <w:ilvl w:val="1"/>
        <w:numId w:val="1"/>
      </w:numPr>
      <w:ind w:firstLineChars="0"/>
      <w:jc w:val="center"/>
      <w:outlineLvl w:val="1"/>
    </w:pPr>
    <w:rPr>
      <w:rFonts w:ascii="宋体" w:hAnsi="宋体" w:eastAsia="黑体" w:cstheme="majorBidi"/>
      <w:bCs/>
      <w:sz w:val="28"/>
      <w:szCs w:val="32"/>
    </w:rPr>
  </w:style>
  <w:style w:type="paragraph" w:styleId="4">
    <w:name w:val="heading 3"/>
    <w:basedOn w:val="1"/>
    <w:next w:val="1"/>
    <w:link w:val="24"/>
    <w:unhideWhenUsed/>
    <w:qFormat/>
    <w:uiPriority w:val="0"/>
    <w:pPr>
      <w:keepNext/>
      <w:keepLines/>
      <w:numPr>
        <w:ilvl w:val="2"/>
        <w:numId w:val="1"/>
      </w:numPr>
      <w:tabs>
        <w:tab w:val="left" w:pos="851"/>
      </w:tabs>
      <w:spacing w:line="340" w:lineRule="exact"/>
      <w:ind w:firstLineChars="0"/>
      <w:outlineLvl w:val="2"/>
    </w:pPr>
    <w:rPr>
      <w:rFonts w:ascii="宋体" w:hAnsi="宋体" w:eastAsia="宋体"/>
      <w:bCs/>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34"/>
    <w:qFormat/>
    <w:uiPriority w:val="0"/>
    <w:pPr>
      <w:jc w:val="left"/>
    </w:pPr>
  </w:style>
  <w:style w:type="paragraph" w:styleId="8">
    <w:name w:val="footer"/>
    <w:basedOn w:val="1"/>
    <w:qFormat/>
    <w:uiPriority w:val="0"/>
    <w:pPr>
      <w:tabs>
        <w:tab w:val="center" w:pos="4153"/>
        <w:tab w:val="right" w:pos="8306"/>
      </w:tabs>
      <w:snapToGrid w:val="0"/>
      <w:spacing w:line="240" w:lineRule="auto"/>
      <w:jc w:val="left"/>
    </w:pPr>
    <w:rPr>
      <w:sz w:val="18"/>
      <w:szCs w:val="18"/>
    </w:rPr>
  </w:style>
  <w:style w:type="paragraph" w:styleId="9">
    <w:name w:val="header"/>
    <w:basedOn w:val="1"/>
    <w:qFormat/>
    <w:uiPriority w:val="0"/>
    <w:pPr>
      <w:tabs>
        <w:tab w:val="center" w:pos="4153"/>
        <w:tab w:val="right" w:pos="8306"/>
      </w:tabs>
      <w:snapToGrid w:val="0"/>
      <w:spacing w:line="240" w:lineRule="auto"/>
      <w:jc w:val="center"/>
    </w:pPr>
    <w:rPr>
      <w:sz w:val="18"/>
      <w:szCs w:val="18"/>
    </w:rPr>
  </w:style>
  <w:style w:type="paragraph" w:styleId="10">
    <w:name w:val="toc 1"/>
    <w:basedOn w:val="1"/>
    <w:next w:val="1"/>
    <w:qFormat/>
    <w:uiPriority w:val="39"/>
    <w:pPr>
      <w:tabs>
        <w:tab w:val="left" w:pos="1260"/>
        <w:tab w:val="right" w:leader="dot" w:pos="8296"/>
      </w:tabs>
      <w:ind w:left="233" w:leftChars="111" w:firstLine="334" w:firstLineChars="139"/>
      <w:jc w:val="left"/>
    </w:pPr>
    <w:rPr>
      <w:rFonts w:ascii="宋体" w:hAnsi="宋体" w:eastAsia="宋体"/>
      <w:sz w:val="24"/>
    </w:rPr>
  </w:style>
  <w:style w:type="paragraph" w:styleId="11">
    <w:name w:val="toc 2"/>
    <w:basedOn w:val="1"/>
    <w:next w:val="1"/>
    <w:qFormat/>
    <w:uiPriority w:val="39"/>
    <w:pPr>
      <w:tabs>
        <w:tab w:val="left" w:pos="1470"/>
        <w:tab w:val="right" w:leader="dot" w:pos="8296"/>
      </w:tabs>
      <w:ind w:left="420" w:leftChars="200" w:firstLine="420"/>
      <w:jc w:val="left"/>
    </w:pPr>
    <w:rPr>
      <w:rFonts w:ascii="宋体" w:hAnsi="宋体" w:eastAsia="宋体"/>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7"/>
    <w:next w:val="7"/>
    <w:link w:val="35"/>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paragraph" w:customStyle="1" w:styleId="20">
    <w:name w:val="TOC 标题1"/>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bCs w:val="0"/>
      <w:color w:val="2E75B6" w:themeColor="accent1" w:themeShade="BF"/>
      <w:kern w:val="0"/>
      <w:szCs w:val="32"/>
    </w:rPr>
  </w:style>
  <w:style w:type="paragraph" w:customStyle="1" w:styleId="21">
    <w:name w:val="17榜-正文"/>
    <w:basedOn w:val="1"/>
    <w:link w:val="32"/>
    <w:qFormat/>
    <w:uiPriority w:val="0"/>
    <w:pPr>
      <w:spacing w:line="340" w:lineRule="exact"/>
      <w:ind w:firstLine="420"/>
    </w:pPr>
  </w:style>
  <w:style w:type="paragraph" w:customStyle="1" w:styleId="22">
    <w:name w:val="列表段落1"/>
    <w:basedOn w:val="1"/>
    <w:qFormat/>
    <w:uiPriority w:val="34"/>
    <w:pPr>
      <w:ind w:firstLine="420"/>
    </w:pPr>
  </w:style>
  <w:style w:type="paragraph" w:customStyle="1" w:styleId="23">
    <w:name w:val="标号（1）......"/>
    <w:basedOn w:val="21"/>
    <w:qFormat/>
    <w:uiPriority w:val="0"/>
    <w:pPr>
      <w:ind w:firstLine="0" w:firstLineChars="0"/>
    </w:pPr>
  </w:style>
  <w:style w:type="character" w:customStyle="1" w:styleId="24">
    <w:name w:val="标题 3 字符"/>
    <w:basedOn w:val="16"/>
    <w:link w:val="4"/>
    <w:qFormat/>
    <w:uiPriority w:val="1"/>
    <w:rPr>
      <w:rFonts w:ascii="宋体" w:hAnsi="宋体" w:eastAsia="宋体"/>
      <w:bCs/>
      <w:szCs w:val="32"/>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图名"/>
    <w:basedOn w:val="1"/>
    <w:qFormat/>
    <w:uiPriority w:val="0"/>
    <w:pPr>
      <w:ind w:firstLine="0" w:firstLineChars="0"/>
      <w:jc w:val="center"/>
    </w:pPr>
    <w:rPr>
      <w:sz w:val="18"/>
    </w:rPr>
  </w:style>
  <w:style w:type="character" w:customStyle="1" w:styleId="28">
    <w:name w:val="font21"/>
    <w:basedOn w:val="16"/>
    <w:qFormat/>
    <w:uiPriority w:val="0"/>
    <w:rPr>
      <w:rFonts w:hint="default" w:ascii="Times New Roman" w:hAnsi="Times New Roman" w:cs="Times New Roman"/>
      <w:color w:val="000000"/>
      <w:sz w:val="21"/>
      <w:szCs w:val="21"/>
      <w:u w:val="none"/>
    </w:rPr>
  </w:style>
  <w:style w:type="paragraph" w:customStyle="1" w:styleId="29">
    <w:name w:val="列出段落1"/>
    <w:basedOn w:val="1"/>
    <w:qFormat/>
    <w:uiPriority w:val="34"/>
    <w:pPr>
      <w:ind w:firstLine="420"/>
    </w:pPr>
  </w:style>
  <w:style w:type="paragraph" w:customStyle="1" w:styleId="30">
    <w:name w:val="11"/>
    <w:basedOn w:val="21"/>
    <w:qFormat/>
    <w:uiPriority w:val="0"/>
    <w:pPr>
      <w:spacing w:line="360" w:lineRule="auto"/>
      <w:jc w:val="center"/>
    </w:pPr>
    <w:rPr>
      <w:sz w:val="28"/>
      <w:szCs w:val="28"/>
    </w:rPr>
  </w:style>
  <w:style w:type="paragraph" w:customStyle="1" w:styleId="31">
    <w:name w:val="17磅-正文无缩进"/>
    <w:basedOn w:val="21"/>
    <w:qFormat/>
    <w:uiPriority w:val="0"/>
    <w:rPr>
      <w:spacing w:val="2"/>
    </w:rPr>
  </w:style>
  <w:style w:type="character" w:customStyle="1" w:styleId="32">
    <w:name w:val="17榜-正文 Char"/>
    <w:basedOn w:val="16"/>
    <w:link w:val="21"/>
    <w:qFormat/>
    <w:uiPriority w:val="0"/>
  </w:style>
  <w:style w:type="paragraph" w:customStyle="1" w:styleId="3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4">
    <w:name w:val="批注文字 字符"/>
    <w:basedOn w:val="16"/>
    <w:link w:val="7"/>
    <w:qFormat/>
    <w:uiPriority w:val="0"/>
    <w:rPr>
      <w:rFonts w:asciiTheme="minorHAnsi" w:hAnsiTheme="minorHAnsi" w:eastAsiaTheme="minorEastAsia" w:cstheme="minorBidi"/>
      <w:kern w:val="2"/>
      <w:sz w:val="21"/>
      <w:szCs w:val="22"/>
    </w:rPr>
  </w:style>
  <w:style w:type="character" w:customStyle="1" w:styleId="35">
    <w:name w:val="批注主题 字符"/>
    <w:basedOn w:val="34"/>
    <w:link w:val="13"/>
    <w:qFormat/>
    <w:uiPriority w:val="0"/>
    <w:rPr>
      <w:rFonts w:asciiTheme="minorHAnsi" w:hAnsiTheme="minorHAnsi" w:eastAsiaTheme="minorEastAsia" w:cstheme="minorBidi"/>
      <w:b/>
      <w:bCs/>
      <w:kern w:val="2"/>
      <w:sz w:val="21"/>
      <w:szCs w:val="22"/>
    </w:rPr>
  </w:style>
  <w:style w:type="paragraph" w:customStyle="1" w:styleId="3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16164</Words>
  <Characters>18086</Characters>
  <Lines>372</Lines>
  <Paragraphs>104</Paragraphs>
  <TotalTime>15</TotalTime>
  <ScaleCrop>false</ScaleCrop>
  <LinksUpToDate>false</LinksUpToDate>
  <CharactersWithSpaces>18801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2022-11-08T23:03:00Z</dcterms:created>
  <dc:creator>pianyuhui</dc:creator>
  <cp:lastModifiedBy>成</cp:lastModifiedBy>
  <cp:lastPrinted>2025-01-02T01:06:00Z</cp:lastPrinted>
  <dcterms:modified xsi:type="dcterms:W3CDTF">2025-02-24T08:10:14Z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9589465CDBFD42D7ACB11E08D6AB22CE_13</vt:lpwstr>
  </property>
  <property fmtid="{D5CDD505-2E9C-101B-9397-08002B2CF9AE}" pid="4" name="KSOTemplateDocerSaveRecord">
    <vt:lpwstr>eyJoZGlkIjoiNWRhZTY3NGM0ZDg3ODk3NjQ3YjJjNDU4OTVlNDAwZjIiLCJ1c2VySWQiOiIxMTQ5OTg3NTc2In0=</vt:lpwstr>
  </property>
</Properties>
</file>