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FB9242">
      <w:pPr>
        <w:keepNext w:val="0"/>
        <w:keepLines w:val="0"/>
        <w:pageBreakBefore w:val="0"/>
        <w:widowControl w:val="0"/>
        <w:kinsoku/>
        <w:wordWrap/>
        <w:overflowPunct/>
        <w:topLinePunct w:val="0"/>
        <w:autoSpaceDE w:val="0"/>
        <w:autoSpaceDN w:val="0"/>
        <w:bidi w:val="0"/>
        <w:adjustRightInd/>
        <w:snapToGrid/>
        <w:spacing w:after="118" w:afterLines="20" w:line="640" w:lineRule="exact"/>
        <w:ind w:right="0"/>
        <w:jc w:val="center"/>
        <w:textAlignment w:val="baseline"/>
        <w:outlineLvl w:val="0"/>
        <w:rPr>
          <w:rFonts w:hint="eastAsia" w:ascii="方正小标宋简体" w:hAnsi="方正小标宋简体" w:eastAsia="方正小标宋简体" w:cs="方正小标宋简体"/>
          <w:b w:val="0"/>
          <w:bCs/>
          <w:spacing w:val="4"/>
          <w:sz w:val="44"/>
          <w:szCs w:val="56"/>
          <w:lang w:val="en-US" w:eastAsia="zh-CN"/>
        </w:rPr>
      </w:pPr>
      <w:r>
        <w:rPr>
          <w:rFonts w:hint="eastAsia" w:ascii="方正小标宋简体" w:hAnsi="方正小标宋简体" w:eastAsia="方正小标宋简体" w:cs="方正小标宋简体"/>
          <w:b w:val="0"/>
          <w:bCs/>
          <w:spacing w:val="4"/>
          <w:sz w:val="44"/>
          <w:szCs w:val="56"/>
          <w:lang w:val="en-US" w:eastAsia="zh-CN"/>
        </w:rPr>
        <w:t>文水县烟草专卖局</w:t>
      </w:r>
    </w:p>
    <w:p w14:paraId="65D4E249">
      <w:pPr>
        <w:keepNext w:val="0"/>
        <w:keepLines w:val="0"/>
        <w:pageBreakBefore w:val="0"/>
        <w:widowControl w:val="0"/>
        <w:kinsoku/>
        <w:wordWrap/>
        <w:overflowPunct/>
        <w:topLinePunct w:val="0"/>
        <w:autoSpaceDE w:val="0"/>
        <w:autoSpaceDN w:val="0"/>
        <w:bidi w:val="0"/>
        <w:adjustRightInd/>
        <w:snapToGrid/>
        <w:spacing w:after="118" w:afterLines="20" w:line="640" w:lineRule="exact"/>
        <w:ind w:right="0"/>
        <w:jc w:val="center"/>
        <w:textAlignment w:val="baseline"/>
        <w:outlineLvl w:val="0"/>
        <w:rPr>
          <w:rFonts w:hint="eastAsia" w:ascii="方正小标宋简体" w:hAnsi="方正小标宋简体" w:eastAsia="方正小标宋简体" w:cs="方正小标宋简体"/>
          <w:b w:val="0"/>
          <w:bCs/>
          <w:spacing w:val="4"/>
          <w:sz w:val="44"/>
          <w:szCs w:val="56"/>
          <w:lang w:eastAsia="zh-CN"/>
        </w:rPr>
      </w:pPr>
      <w:r>
        <w:rPr>
          <w:rFonts w:hint="eastAsia" w:ascii="方正小标宋简体" w:hAnsi="方正小标宋简体" w:eastAsia="方正小标宋简体" w:cs="方正小标宋简体"/>
          <w:b w:val="0"/>
          <w:bCs/>
          <w:spacing w:val="4"/>
          <w:sz w:val="44"/>
          <w:szCs w:val="56"/>
        </w:rPr>
        <w:t>烟草制品零售点合理布局规</w:t>
      </w:r>
      <w:r>
        <w:rPr>
          <w:rFonts w:hint="eastAsia" w:ascii="方正小标宋简体" w:hAnsi="方正小标宋简体" w:eastAsia="方正小标宋简体" w:cs="方正小标宋简体"/>
          <w:b w:val="0"/>
          <w:bCs/>
          <w:spacing w:val="4"/>
          <w:sz w:val="44"/>
          <w:szCs w:val="56"/>
          <w:lang w:eastAsia="zh-CN"/>
        </w:rPr>
        <w:t>划（</w:t>
      </w:r>
      <w:r>
        <w:rPr>
          <w:rFonts w:hint="eastAsia" w:ascii="方正小标宋简体" w:hAnsi="方正小标宋简体" w:eastAsia="方正小标宋简体" w:cs="方正小标宋简体"/>
          <w:b w:val="0"/>
          <w:bCs/>
          <w:spacing w:val="4"/>
          <w:sz w:val="44"/>
          <w:szCs w:val="56"/>
          <w:lang w:val="en-US" w:eastAsia="zh-CN"/>
        </w:rPr>
        <w:t>草案</w:t>
      </w:r>
      <w:r>
        <w:rPr>
          <w:rFonts w:hint="eastAsia" w:ascii="方正小标宋简体" w:hAnsi="方正小标宋简体" w:eastAsia="方正小标宋简体" w:cs="方正小标宋简体"/>
          <w:b w:val="0"/>
          <w:bCs/>
          <w:spacing w:val="4"/>
          <w:sz w:val="44"/>
          <w:szCs w:val="56"/>
          <w:lang w:eastAsia="zh-CN"/>
        </w:rPr>
        <w:t>）</w:t>
      </w:r>
    </w:p>
    <w:p w14:paraId="0E0DF9CF">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right="0" w:firstLine="488" w:firstLineChars="200"/>
        <w:jc w:val="center"/>
        <w:textAlignment w:val="baseline"/>
        <w:outlineLvl w:val="0"/>
        <w:rPr>
          <w:rFonts w:hint="eastAsia" w:ascii="方正小标宋简体" w:hAnsi="方正小标宋简体" w:eastAsia="方正小标宋简体" w:cs="方正小标宋简体"/>
          <w:b w:val="0"/>
          <w:bCs/>
          <w:spacing w:val="4"/>
          <w:sz w:val="24"/>
          <w:szCs w:val="24"/>
          <w:lang w:eastAsia="zh-CN"/>
        </w:rPr>
      </w:pPr>
    </w:p>
    <w:p w14:paraId="1009F4F6">
      <w:pPr>
        <w:keepNext w:val="0"/>
        <w:keepLines w:val="0"/>
        <w:pageBreakBefore w:val="0"/>
        <w:widowControl w:val="0"/>
        <w:kinsoku/>
        <w:wordWrap/>
        <w:overflowPunct/>
        <w:topLinePunct w:val="0"/>
        <w:autoSpaceDE w:val="0"/>
        <w:autoSpaceDN w:val="0"/>
        <w:bidi w:val="0"/>
        <w:adjustRightInd/>
        <w:snapToGrid/>
        <w:spacing w:after="118" w:afterLines="20" w:line="560" w:lineRule="exact"/>
        <w:ind w:left="0" w:leftChars="0" w:right="0" w:firstLine="628" w:firstLineChars="200"/>
        <w:jc w:val="center"/>
        <w:textAlignment w:val="baseline"/>
        <w:outlineLvl w:val="0"/>
        <w:rPr>
          <w:rFonts w:hint="eastAsia" w:ascii="黑体" w:hAnsi="黑体" w:eastAsia="黑体" w:cs="黑体"/>
          <w:b w:val="0"/>
          <w:sz w:val="32"/>
          <w:szCs w:val="32"/>
        </w:rPr>
      </w:pPr>
      <w:r>
        <w:rPr>
          <w:rFonts w:hint="eastAsia" w:ascii="黑体" w:hAnsi="黑体" w:eastAsia="黑体" w:cs="黑体"/>
          <w:b w:val="0"/>
          <w:spacing w:val="-1"/>
          <w:position w:val="1"/>
          <w:sz w:val="32"/>
          <w:szCs w:val="32"/>
        </w:rPr>
        <w:t>第一章</w:t>
      </w:r>
      <w:r>
        <w:rPr>
          <w:rFonts w:hint="eastAsia" w:ascii="黑体" w:hAnsi="黑体" w:eastAsia="黑体" w:cs="黑体"/>
          <w:b w:val="0"/>
          <w:spacing w:val="19"/>
          <w:position w:val="1"/>
          <w:sz w:val="32"/>
          <w:szCs w:val="32"/>
          <w:lang w:val="en-US" w:eastAsia="zh-CN"/>
        </w:rPr>
        <w:t xml:space="preserve">  </w:t>
      </w:r>
      <w:r>
        <w:rPr>
          <w:rFonts w:hint="eastAsia" w:ascii="黑体" w:hAnsi="黑体" w:eastAsia="黑体" w:cs="黑体"/>
          <w:b w:val="0"/>
          <w:spacing w:val="-1"/>
          <w:position w:val="1"/>
          <w:sz w:val="32"/>
          <w:szCs w:val="32"/>
        </w:rPr>
        <w:t>总</w:t>
      </w:r>
      <w:r>
        <w:rPr>
          <w:rFonts w:hint="eastAsia" w:ascii="黑体" w:hAnsi="黑体" w:eastAsia="黑体" w:cs="黑体"/>
          <w:b w:val="0"/>
          <w:spacing w:val="10"/>
          <w:position w:val="1"/>
          <w:sz w:val="32"/>
          <w:szCs w:val="32"/>
        </w:rPr>
        <w:t xml:space="preserve">  </w:t>
      </w:r>
      <w:r>
        <w:rPr>
          <w:rFonts w:hint="eastAsia" w:ascii="黑体" w:hAnsi="黑体" w:eastAsia="黑体" w:cs="黑体"/>
          <w:b w:val="0"/>
          <w:spacing w:val="-1"/>
          <w:position w:val="1"/>
          <w:sz w:val="32"/>
          <w:szCs w:val="32"/>
        </w:rPr>
        <w:t>则</w:t>
      </w:r>
    </w:p>
    <w:p w14:paraId="363FB5C7">
      <w:pPr>
        <w:keepNext w:val="0"/>
        <w:keepLines w:val="0"/>
        <w:pageBreakBefore w:val="0"/>
        <w:widowControl/>
        <w:kinsoku/>
        <w:wordWrap/>
        <w:overflowPunct/>
        <w:topLinePunct w:val="0"/>
        <w:autoSpaceDE/>
        <w:autoSpaceDN/>
        <w:bidi w:val="0"/>
        <w:adjustRightInd/>
        <w:snapToGrid/>
        <w:spacing w:line="560" w:lineRule="exact"/>
        <w:ind w:firstLine="632" w:firstLineChars="200"/>
        <w:jc w:val="left"/>
        <w:textAlignment w:val="auto"/>
        <w:rPr>
          <w:rFonts w:hint="eastAsia" w:ascii="CESI仿宋-GB2312" w:hAnsi="CESI仿宋-GB2312" w:eastAsia="CESI仿宋-GB2312" w:cs="CESI仿宋-GB2312"/>
          <w:color w:val="auto"/>
          <w:kern w:val="0"/>
          <w:sz w:val="30"/>
          <w:szCs w:val="30"/>
        </w:rPr>
      </w:pPr>
      <w:r>
        <w:rPr>
          <w:rStyle w:val="14"/>
          <w:rFonts w:hint="eastAsia"/>
        </w:rPr>
        <w:t>第一条</w:t>
      </w:r>
      <w:r>
        <w:rPr>
          <w:rFonts w:hint="eastAsia" w:ascii="Times New Roman" w:hAnsi="Times New Roman" w:eastAsia="仿宋_GB2312" w:cs="仿宋_GB2312"/>
          <w:b w:val="0"/>
          <w:spacing w:val="8"/>
          <w:sz w:val="32"/>
          <w:szCs w:val="32"/>
          <w:lang w:val="en-US" w:eastAsia="zh-CN"/>
        </w:rPr>
        <w:t xml:space="preserve"> </w:t>
      </w:r>
      <w:r>
        <w:rPr>
          <w:rFonts w:hint="eastAsia" w:ascii="CESI仿宋-GB2312" w:hAnsi="CESI仿宋-GB2312" w:eastAsia="CESI仿宋-GB2312" w:cs="CESI仿宋-GB2312"/>
          <w:color w:val="auto"/>
          <w:kern w:val="0"/>
          <w:sz w:val="30"/>
          <w:szCs w:val="30"/>
        </w:rPr>
        <w:t>为深入</w:t>
      </w:r>
      <w:r>
        <w:rPr>
          <w:rFonts w:hint="eastAsia" w:ascii="CESI仿宋-GB2312" w:hAnsi="CESI仿宋-GB2312" w:eastAsia="CESI仿宋-GB2312" w:cs="CESI仿宋-GB2312"/>
          <w:color w:val="auto"/>
          <w:kern w:val="0"/>
          <w:sz w:val="30"/>
          <w:szCs w:val="30"/>
          <w:lang w:eastAsia="zh-CN"/>
        </w:rPr>
        <w:t>贯彻落实“高效办成一件事”改革要求，合理满足消费需求</w:t>
      </w:r>
      <w:r>
        <w:rPr>
          <w:rFonts w:hint="eastAsia" w:ascii="CESI仿宋-GB2312" w:hAnsi="CESI仿宋-GB2312" w:eastAsia="CESI仿宋-GB2312" w:cs="CESI仿宋-GB2312"/>
          <w:color w:val="auto"/>
          <w:kern w:val="0"/>
          <w:sz w:val="30"/>
          <w:szCs w:val="30"/>
        </w:rPr>
        <w:t>，保护烟草制品经营者和消费者的合法权益，根据《中华人民共和国行政许可法》《中华人民共和国烟草专卖法》《中华人民共和国烟草专卖法实施条例》《烟草专卖许可证管理办法》和</w:t>
      </w:r>
      <w:r>
        <w:rPr>
          <w:rFonts w:hint="eastAsia" w:ascii="CESI仿宋-GB2312" w:hAnsi="CESI仿宋-GB2312" w:eastAsia="CESI仿宋-GB2312" w:cs="CESI仿宋-GB2312"/>
          <w:color w:val="auto"/>
          <w:sz w:val="30"/>
          <w:szCs w:val="30"/>
        </w:rPr>
        <w:t>《吕梁市烟草专卖局烟草制品零售点合理布局指导意见（202</w:t>
      </w:r>
      <w:r>
        <w:rPr>
          <w:rFonts w:hint="eastAsia" w:ascii="CESI仿宋-GB2312" w:hAnsi="CESI仿宋-GB2312" w:eastAsia="CESI仿宋-GB2312" w:cs="CESI仿宋-GB2312"/>
          <w:color w:val="auto"/>
          <w:sz w:val="30"/>
          <w:szCs w:val="30"/>
          <w:lang w:val="en-US" w:eastAsia="zh-CN"/>
        </w:rPr>
        <w:t>6年</w:t>
      </w:r>
      <w:r>
        <w:rPr>
          <w:rFonts w:hint="eastAsia" w:ascii="CESI仿宋-GB2312" w:hAnsi="CESI仿宋-GB2312" w:eastAsia="CESI仿宋-GB2312" w:cs="CESI仿宋-GB2312"/>
          <w:color w:val="auto"/>
          <w:sz w:val="30"/>
          <w:szCs w:val="30"/>
        </w:rPr>
        <w:t>修订）》</w:t>
      </w:r>
      <w:r>
        <w:rPr>
          <w:rFonts w:hint="eastAsia" w:ascii="CESI仿宋-GB2312" w:hAnsi="CESI仿宋-GB2312" w:eastAsia="CESI仿宋-GB2312" w:cs="CESI仿宋-GB2312"/>
          <w:color w:val="auto"/>
          <w:kern w:val="0"/>
          <w:sz w:val="30"/>
          <w:szCs w:val="30"/>
        </w:rPr>
        <w:t>等法律、法规、规章和规定，结合</w:t>
      </w:r>
      <w:r>
        <w:rPr>
          <w:rFonts w:hint="eastAsia" w:ascii="CESI仿宋-GB2312" w:hAnsi="CESI仿宋-GB2312" w:eastAsia="CESI仿宋-GB2312" w:cs="CESI仿宋-GB2312"/>
          <w:color w:val="auto"/>
          <w:kern w:val="0"/>
          <w:sz w:val="30"/>
          <w:szCs w:val="30"/>
          <w:lang w:eastAsia="zh-CN"/>
        </w:rPr>
        <w:t>文水县</w:t>
      </w:r>
      <w:r>
        <w:rPr>
          <w:rFonts w:hint="eastAsia" w:ascii="CESI仿宋-GB2312" w:hAnsi="CESI仿宋-GB2312" w:eastAsia="CESI仿宋-GB2312" w:cs="CESI仿宋-GB2312"/>
          <w:color w:val="auto"/>
          <w:kern w:val="0"/>
          <w:sz w:val="30"/>
          <w:szCs w:val="30"/>
        </w:rPr>
        <w:t>辖区实际，制定本规划。</w:t>
      </w:r>
    </w:p>
    <w:p w14:paraId="36989882">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第二条</w:t>
      </w:r>
      <w:r>
        <w:rPr>
          <w:rFonts w:hint="eastAsia" w:ascii="Times New Roman" w:hAnsi="Times New Roman" w:eastAsia="仿宋_GB2312" w:cs="仿宋_GB2312"/>
          <w:b w:val="0"/>
          <w:color w:val="auto"/>
          <w:spacing w:val="9"/>
          <w:sz w:val="32"/>
          <w:szCs w:val="32"/>
          <w:lang w:val="en-US" w:eastAsia="zh-CN"/>
        </w:rPr>
        <w:t xml:space="preserve"> </w:t>
      </w:r>
      <w:r>
        <w:rPr>
          <w:rFonts w:hint="eastAsia" w:ascii="CESI仿宋-GB2312" w:hAnsi="CESI仿宋-GB2312" w:eastAsia="CESI仿宋-GB2312" w:cs="CESI仿宋-GB2312"/>
          <w:b w:val="0"/>
          <w:color w:val="auto"/>
          <w:spacing w:val="9"/>
          <w:sz w:val="32"/>
          <w:szCs w:val="32"/>
        </w:rPr>
        <w:t>本规定适用于</w:t>
      </w:r>
      <w:r>
        <w:rPr>
          <w:rFonts w:hint="eastAsia" w:ascii="CESI仿宋-GB2312" w:hAnsi="CESI仿宋-GB2312" w:eastAsia="CESI仿宋-GB2312" w:cs="CESI仿宋-GB2312"/>
          <w:b w:val="0"/>
          <w:color w:val="auto"/>
          <w:spacing w:val="9"/>
          <w:sz w:val="32"/>
          <w:szCs w:val="32"/>
          <w:lang w:val="en-US" w:eastAsia="zh-CN"/>
        </w:rPr>
        <w:t>文水县</w:t>
      </w:r>
      <w:r>
        <w:rPr>
          <w:rFonts w:hint="eastAsia" w:ascii="CESI仿宋-GB2312" w:hAnsi="CESI仿宋-GB2312" w:eastAsia="CESI仿宋-GB2312" w:cs="CESI仿宋-GB2312"/>
          <w:b w:val="0"/>
          <w:color w:val="auto"/>
          <w:spacing w:val="9"/>
          <w:sz w:val="32"/>
          <w:szCs w:val="32"/>
        </w:rPr>
        <w:t>行政区域</w:t>
      </w:r>
      <w:r>
        <w:rPr>
          <w:rFonts w:hint="eastAsia" w:ascii="CESI仿宋-GB2312" w:hAnsi="CESI仿宋-GB2312" w:eastAsia="CESI仿宋-GB2312" w:cs="CESI仿宋-GB2312"/>
          <w:b w:val="0"/>
          <w:color w:val="auto"/>
          <w:spacing w:val="9"/>
          <w:sz w:val="32"/>
          <w:szCs w:val="32"/>
          <w:lang w:val="en-US" w:eastAsia="zh-CN"/>
        </w:rPr>
        <w:t>内烟草专卖零售许可证的申请、审批和发放等</w:t>
      </w:r>
      <w:r>
        <w:rPr>
          <w:rFonts w:hint="eastAsia" w:ascii="CESI仿宋-GB2312" w:hAnsi="CESI仿宋-GB2312" w:eastAsia="CESI仿宋-GB2312" w:cs="CESI仿宋-GB2312"/>
          <w:b w:val="0"/>
          <w:color w:val="auto"/>
          <w:spacing w:val="4"/>
          <w:sz w:val="32"/>
          <w:szCs w:val="32"/>
        </w:rPr>
        <w:t>。</w:t>
      </w:r>
    </w:p>
    <w:p w14:paraId="6390F8B8">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第三条</w:t>
      </w:r>
      <w:r>
        <w:rPr>
          <w:rFonts w:hint="eastAsia" w:ascii="Times New Roman" w:hAnsi="Times New Roman" w:eastAsia="仿宋_GB2312" w:cs="仿宋_GB2312"/>
          <w:b w:val="0"/>
          <w:color w:val="auto"/>
          <w:spacing w:val="4"/>
          <w:sz w:val="32"/>
          <w:szCs w:val="32"/>
          <w:lang w:val="en-US" w:eastAsia="zh-CN"/>
        </w:rPr>
        <w:t xml:space="preserve"> </w:t>
      </w:r>
      <w:r>
        <w:rPr>
          <w:rFonts w:hint="eastAsia" w:ascii="CESI仿宋-GB2312" w:hAnsi="CESI仿宋-GB2312" w:eastAsia="CESI仿宋-GB2312" w:cs="CESI仿宋-GB2312"/>
          <w:b w:val="0"/>
          <w:color w:val="auto"/>
          <w:spacing w:val="4"/>
          <w:sz w:val="32"/>
          <w:szCs w:val="32"/>
        </w:rPr>
        <w:t>本规定遵循依法行政、科学规划、服务社会、均衡</w:t>
      </w:r>
      <w:r>
        <w:rPr>
          <w:rFonts w:hint="eastAsia" w:ascii="CESI仿宋-GB2312" w:hAnsi="CESI仿宋-GB2312" w:eastAsia="CESI仿宋-GB2312" w:cs="CESI仿宋-GB2312"/>
          <w:b w:val="0"/>
          <w:color w:val="auto"/>
          <w:spacing w:val="5"/>
          <w:sz w:val="32"/>
          <w:szCs w:val="32"/>
        </w:rPr>
        <w:t>发展、未成年人保护、控烟履约、公平公正公开的原则，根据辖区人口分布、交通状况、经济发展水平和消费能力等要素确定零</w:t>
      </w:r>
      <w:r>
        <w:rPr>
          <w:rFonts w:hint="eastAsia" w:ascii="CESI仿宋-GB2312" w:hAnsi="CESI仿宋-GB2312" w:eastAsia="CESI仿宋-GB2312" w:cs="CESI仿宋-GB2312"/>
          <w:b w:val="0"/>
          <w:color w:val="auto"/>
          <w:spacing w:val="3"/>
          <w:sz w:val="32"/>
          <w:szCs w:val="32"/>
        </w:rPr>
        <w:t>售点布局。</w:t>
      </w:r>
    </w:p>
    <w:p w14:paraId="73375238">
      <w:pPr>
        <w:pStyle w:val="4"/>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7"/>
          <w:sz w:val="32"/>
          <w:szCs w:val="32"/>
        </w:rPr>
      </w:pPr>
      <w:r>
        <w:rPr>
          <w:rStyle w:val="14"/>
          <w:rFonts w:hint="eastAsia" w:ascii="楷体_GB2312" w:hAnsi="楷体_GB2312" w:eastAsia="楷体_GB2312" w:cs="楷体_GB2312"/>
          <w:b w:val="0"/>
          <w:sz w:val="32"/>
        </w:rPr>
        <w:t>第四条</w:t>
      </w:r>
      <w:r>
        <w:rPr>
          <w:rFonts w:hint="eastAsia" w:ascii="Times New Roman" w:hAnsi="Times New Roman" w:eastAsia="仿宋_GB2312" w:cs="仿宋_GB2312"/>
          <w:b w:val="0"/>
          <w:color w:val="auto"/>
          <w:spacing w:val="4"/>
          <w:sz w:val="32"/>
          <w:szCs w:val="32"/>
          <w:lang w:val="en-US" w:eastAsia="zh-CN"/>
        </w:rPr>
        <w:t xml:space="preserve"> </w:t>
      </w:r>
      <w:r>
        <w:rPr>
          <w:rFonts w:hint="eastAsia" w:ascii="CESI仿宋-GB2312" w:hAnsi="CESI仿宋-GB2312" w:eastAsia="CESI仿宋-GB2312" w:cs="CESI仿宋-GB2312"/>
          <w:b w:val="0"/>
          <w:color w:val="auto"/>
          <w:spacing w:val="4"/>
          <w:sz w:val="32"/>
          <w:szCs w:val="32"/>
        </w:rPr>
        <w:t>本规定所称零售点是指公民、法人及其他组织依法</w:t>
      </w:r>
      <w:r>
        <w:rPr>
          <w:rFonts w:hint="eastAsia" w:ascii="CESI仿宋-GB2312" w:hAnsi="CESI仿宋-GB2312" w:eastAsia="CESI仿宋-GB2312" w:cs="CESI仿宋-GB2312"/>
          <w:b w:val="0"/>
          <w:color w:val="auto"/>
          <w:spacing w:val="2"/>
          <w:sz w:val="32"/>
          <w:szCs w:val="32"/>
        </w:rPr>
        <w:t>申请取得烟草专卖零售许可证（</w:t>
      </w:r>
      <w:r>
        <w:rPr>
          <w:rFonts w:hint="eastAsia" w:ascii="CESI仿宋-GB2312" w:hAnsi="CESI仿宋-GB2312" w:eastAsia="CESI仿宋-GB2312" w:cs="CESI仿宋-GB2312"/>
          <w:b w:val="0"/>
          <w:color w:val="auto"/>
          <w:spacing w:val="-57"/>
          <w:sz w:val="32"/>
          <w:szCs w:val="32"/>
        </w:rPr>
        <w:t xml:space="preserve"> </w:t>
      </w:r>
      <w:r>
        <w:rPr>
          <w:rFonts w:hint="eastAsia" w:ascii="CESI仿宋-GB2312" w:hAnsi="CESI仿宋-GB2312" w:eastAsia="CESI仿宋-GB2312" w:cs="CESI仿宋-GB2312"/>
          <w:b w:val="0"/>
          <w:color w:val="auto"/>
          <w:spacing w:val="2"/>
          <w:sz w:val="32"/>
          <w:szCs w:val="32"/>
        </w:rPr>
        <w:t>以下简称许</w:t>
      </w:r>
      <w:r>
        <w:rPr>
          <w:rFonts w:hint="eastAsia" w:ascii="CESI仿宋-GB2312" w:hAnsi="CESI仿宋-GB2312" w:eastAsia="CESI仿宋-GB2312" w:cs="CESI仿宋-GB2312"/>
          <w:b w:val="0"/>
          <w:color w:val="auto"/>
          <w:spacing w:val="1"/>
          <w:sz w:val="32"/>
          <w:szCs w:val="32"/>
        </w:rPr>
        <w:t>可证）从事烟草制品</w:t>
      </w:r>
      <w:r>
        <w:rPr>
          <w:rFonts w:hint="eastAsia" w:ascii="CESI仿宋-GB2312" w:hAnsi="CESI仿宋-GB2312" w:eastAsia="CESI仿宋-GB2312" w:cs="CESI仿宋-GB2312"/>
          <w:b w:val="0"/>
          <w:color w:val="auto"/>
          <w:spacing w:val="7"/>
          <w:sz w:val="32"/>
          <w:szCs w:val="32"/>
        </w:rPr>
        <w:t>零售业务的经营场所。</w:t>
      </w:r>
    </w:p>
    <w:p w14:paraId="5DE2FCD6">
      <w:pPr>
        <w:pStyle w:val="4"/>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60" w:firstLineChars="200"/>
        <w:jc w:val="left"/>
        <w:textAlignment w:val="baseline"/>
        <w:rPr>
          <w:rFonts w:hint="eastAsia" w:ascii="Times New Roman" w:hAnsi="Times New Roman" w:eastAsia="仿宋_GB2312" w:cs="仿宋_GB2312"/>
          <w:b w:val="0"/>
          <w:color w:val="auto"/>
          <w:spacing w:val="7"/>
          <w:sz w:val="32"/>
          <w:szCs w:val="32"/>
        </w:rPr>
      </w:pPr>
    </w:p>
    <w:p w14:paraId="4E4DAEA9">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48" w:firstLineChars="200"/>
        <w:jc w:val="center"/>
        <w:textAlignment w:val="baseline"/>
        <w:outlineLvl w:val="0"/>
        <w:rPr>
          <w:rFonts w:hint="eastAsia" w:ascii="黑体" w:hAnsi="黑体" w:eastAsia="黑体" w:cs="黑体"/>
          <w:b w:val="0"/>
          <w:color w:val="auto"/>
          <w:spacing w:val="4"/>
          <w:position w:val="1"/>
          <w:sz w:val="32"/>
          <w:szCs w:val="32"/>
        </w:rPr>
      </w:pPr>
      <w:r>
        <w:rPr>
          <w:rFonts w:hint="eastAsia" w:ascii="黑体" w:hAnsi="黑体" w:eastAsia="黑体" w:cs="黑体"/>
          <w:b w:val="0"/>
          <w:color w:val="auto"/>
          <w:spacing w:val="4"/>
          <w:position w:val="1"/>
          <w:sz w:val="32"/>
          <w:szCs w:val="32"/>
        </w:rPr>
        <w:t>第二章</w:t>
      </w:r>
      <w:r>
        <w:rPr>
          <w:rFonts w:hint="eastAsia" w:ascii="黑体" w:hAnsi="黑体" w:eastAsia="黑体" w:cs="黑体"/>
          <w:b w:val="0"/>
          <w:color w:val="auto"/>
          <w:spacing w:val="16"/>
          <w:position w:val="1"/>
          <w:sz w:val="32"/>
          <w:szCs w:val="32"/>
        </w:rPr>
        <w:t xml:space="preserve">  </w:t>
      </w:r>
      <w:r>
        <w:rPr>
          <w:rFonts w:hint="eastAsia" w:ascii="黑体" w:hAnsi="黑体" w:eastAsia="黑体" w:cs="黑体"/>
          <w:b w:val="0"/>
          <w:color w:val="auto"/>
          <w:spacing w:val="4"/>
          <w:position w:val="1"/>
          <w:sz w:val="32"/>
          <w:szCs w:val="32"/>
        </w:rPr>
        <w:t>总体布局</w:t>
      </w:r>
    </w:p>
    <w:p w14:paraId="389A1E63">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outlineLvl w:val="0"/>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第五条</w:t>
      </w:r>
      <w:r>
        <w:rPr>
          <w:rFonts w:hint="eastAsia" w:ascii="Times New Roman" w:hAnsi="Times New Roman" w:eastAsia="仿宋_GB2312" w:cs="仿宋_GB2312"/>
          <w:b w:val="0"/>
          <w:color w:val="auto"/>
          <w:spacing w:val="4"/>
          <w:sz w:val="32"/>
          <w:szCs w:val="32"/>
        </w:rPr>
        <w:t xml:space="preserve"> </w:t>
      </w:r>
      <w:r>
        <w:rPr>
          <w:rFonts w:hint="eastAsia" w:ascii="CESI仿宋-GB2312" w:hAnsi="CESI仿宋-GB2312" w:eastAsia="CESI仿宋-GB2312" w:cs="CESI仿宋-GB2312"/>
          <w:b w:val="0"/>
          <w:color w:val="auto"/>
          <w:spacing w:val="4"/>
          <w:sz w:val="32"/>
          <w:szCs w:val="32"/>
        </w:rPr>
        <w:t>零售点总体布局按间距</w:t>
      </w:r>
      <w:r>
        <w:rPr>
          <w:rFonts w:hint="eastAsia" w:ascii="CESI仿宋-GB2312" w:hAnsi="CESI仿宋-GB2312" w:eastAsia="CESI仿宋-GB2312" w:cs="CESI仿宋-GB2312"/>
          <w:b w:val="0"/>
          <w:color w:val="auto"/>
          <w:spacing w:val="4"/>
          <w:sz w:val="32"/>
          <w:szCs w:val="32"/>
          <w:lang w:eastAsia="zh-CN"/>
        </w:rPr>
        <w:t>、</w:t>
      </w:r>
      <w:r>
        <w:rPr>
          <w:rFonts w:hint="eastAsia" w:ascii="CESI仿宋-GB2312" w:hAnsi="CESI仿宋-GB2312" w:eastAsia="CESI仿宋-GB2312" w:cs="CESI仿宋-GB2312"/>
          <w:b w:val="0"/>
          <w:color w:val="auto"/>
          <w:spacing w:val="4"/>
          <w:sz w:val="32"/>
          <w:szCs w:val="32"/>
        </w:rPr>
        <w:t>总量</w:t>
      </w:r>
      <w:r>
        <w:rPr>
          <w:rFonts w:hint="eastAsia" w:ascii="CESI仿宋-GB2312" w:hAnsi="CESI仿宋-GB2312" w:eastAsia="CESI仿宋-GB2312" w:cs="CESI仿宋-GB2312"/>
          <w:b w:val="0"/>
          <w:color w:val="auto"/>
          <w:spacing w:val="4"/>
          <w:sz w:val="32"/>
          <w:szCs w:val="32"/>
          <w:lang w:eastAsia="zh-CN"/>
        </w:rPr>
        <w:t>及</w:t>
      </w:r>
      <w:r>
        <w:rPr>
          <w:rFonts w:hint="eastAsia" w:ascii="CESI仿宋-GB2312" w:hAnsi="CESI仿宋-GB2312" w:eastAsia="CESI仿宋-GB2312" w:cs="CESI仿宋-GB2312"/>
          <w:b w:val="0"/>
          <w:color w:val="auto"/>
          <w:spacing w:val="4"/>
          <w:sz w:val="32"/>
          <w:szCs w:val="32"/>
        </w:rPr>
        <w:t>禁止准入情形等标</w:t>
      </w:r>
      <w:r>
        <w:rPr>
          <w:rFonts w:hint="eastAsia" w:ascii="CESI仿宋-GB2312" w:hAnsi="CESI仿宋-GB2312" w:eastAsia="CESI仿宋-GB2312" w:cs="CESI仿宋-GB2312"/>
          <w:b w:val="0"/>
          <w:color w:val="auto"/>
          <w:spacing w:val="1"/>
          <w:sz w:val="32"/>
          <w:szCs w:val="32"/>
        </w:rPr>
        <w:t>准执行。</w:t>
      </w:r>
    </w:p>
    <w:p w14:paraId="6E2C6B20">
      <w:pPr>
        <w:keepNext w:val="0"/>
        <w:keepLines w:val="0"/>
        <w:pageBreakBefore w:val="0"/>
        <w:widowControl w:val="0"/>
        <w:kinsoku/>
        <w:wordWrap/>
        <w:overflowPunct/>
        <w:topLinePunct w:val="0"/>
        <w:autoSpaceDE w:val="0"/>
        <w:autoSpaceDN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rPr>
      </w:pPr>
      <w:r>
        <w:rPr>
          <w:rStyle w:val="14"/>
          <w:rFonts w:hint="eastAsia" w:ascii="楷体_GB2312" w:hAnsi="楷体_GB2312" w:eastAsia="楷体_GB2312" w:cs="楷体_GB2312"/>
          <w:b w:val="0"/>
          <w:sz w:val="32"/>
        </w:rPr>
        <w:t>第六条</w:t>
      </w:r>
      <w:r>
        <w:rPr>
          <w:rFonts w:hint="eastAsia" w:ascii="Times New Roman" w:hAnsi="Times New Roman" w:eastAsia="仿宋_GB2312" w:cs="仿宋_GB2312"/>
          <w:b w:val="0"/>
          <w:color w:val="auto"/>
          <w:spacing w:val="4"/>
          <w:sz w:val="32"/>
          <w:szCs w:val="32"/>
        </w:rPr>
        <w:t xml:space="preserve"> </w:t>
      </w:r>
      <w:r>
        <w:rPr>
          <w:rFonts w:hint="eastAsia" w:ascii="CESI仿宋-GB2312" w:hAnsi="CESI仿宋-GB2312" w:eastAsia="CESI仿宋-GB2312" w:cs="CESI仿宋-GB2312"/>
          <w:b w:val="0"/>
          <w:color w:val="auto"/>
          <w:spacing w:val="4"/>
          <w:sz w:val="32"/>
          <w:szCs w:val="32"/>
        </w:rPr>
        <w:t>为了合理满足消费需求、防止无序过度竞争、落实</w:t>
      </w:r>
      <w:r>
        <w:rPr>
          <w:rFonts w:hint="eastAsia" w:ascii="CESI仿宋-GB2312" w:hAnsi="CESI仿宋-GB2312" w:eastAsia="CESI仿宋-GB2312" w:cs="CESI仿宋-GB2312"/>
          <w:b w:val="0"/>
          <w:color w:val="auto"/>
          <w:spacing w:val="5"/>
          <w:sz w:val="32"/>
          <w:szCs w:val="32"/>
        </w:rPr>
        <w:t>控烟履约要求，依托政府行政</w:t>
      </w:r>
      <w:r>
        <w:rPr>
          <w:rFonts w:hint="eastAsia" w:ascii="CESI仿宋-GB2312" w:hAnsi="CESI仿宋-GB2312" w:eastAsia="CESI仿宋-GB2312" w:cs="CESI仿宋-GB2312"/>
          <w:b w:val="0"/>
          <w:color w:val="auto"/>
          <w:spacing w:val="5"/>
          <w:sz w:val="32"/>
          <w:szCs w:val="32"/>
          <w:lang w:val="en-US" w:eastAsia="zh-CN"/>
        </w:rPr>
        <w:t>区域</w:t>
      </w:r>
      <w:r>
        <w:rPr>
          <w:rFonts w:hint="eastAsia" w:ascii="CESI仿宋-GB2312" w:hAnsi="CESI仿宋-GB2312" w:eastAsia="CESI仿宋-GB2312" w:cs="CESI仿宋-GB2312"/>
          <w:b w:val="0"/>
          <w:color w:val="auto"/>
          <w:spacing w:val="5"/>
          <w:sz w:val="32"/>
          <w:szCs w:val="32"/>
        </w:rPr>
        <w:t>，以市场特征、人口数量、商圈、</w:t>
      </w:r>
      <w:r>
        <w:rPr>
          <w:rFonts w:hint="eastAsia" w:ascii="CESI仿宋-GB2312" w:hAnsi="CESI仿宋-GB2312" w:eastAsia="CESI仿宋-GB2312" w:cs="CESI仿宋-GB2312"/>
          <w:b w:val="0"/>
          <w:color w:val="auto"/>
          <w:spacing w:val="5"/>
          <w:sz w:val="32"/>
          <w:szCs w:val="32"/>
          <w:lang w:val="en-US" w:eastAsia="zh-CN"/>
        </w:rPr>
        <w:t>经济发展水平</w:t>
      </w:r>
      <w:r>
        <w:rPr>
          <w:rFonts w:hint="eastAsia" w:ascii="CESI仿宋-GB2312" w:hAnsi="CESI仿宋-GB2312" w:eastAsia="CESI仿宋-GB2312" w:cs="CESI仿宋-GB2312"/>
          <w:b w:val="0"/>
          <w:color w:val="auto"/>
          <w:spacing w:val="5"/>
          <w:sz w:val="32"/>
          <w:szCs w:val="32"/>
        </w:rPr>
        <w:t>等因素为依据，将</w:t>
      </w:r>
      <w:r>
        <w:rPr>
          <w:rFonts w:hint="eastAsia" w:ascii="CESI仿宋-GB2312" w:hAnsi="CESI仿宋-GB2312" w:eastAsia="CESI仿宋-GB2312" w:cs="CESI仿宋-GB2312"/>
          <w:b w:val="0"/>
          <w:color w:val="auto"/>
          <w:spacing w:val="5"/>
          <w:sz w:val="32"/>
          <w:szCs w:val="32"/>
          <w:lang w:val="en-US" w:eastAsia="zh-CN"/>
        </w:rPr>
        <w:t>文水县域</w:t>
      </w:r>
      <w:r>
        <w:rPr>
          <w:rFonts w:hint="eastAsia" w:ascii="CESI仿宋-GB2312" w:hAnsi="CESI仿宋-GB2312" w:eastAsia="CESI仿宋-GB2312" w:cs="CESI仿宋-GB2312"/>
          <w:b w:val="0"/>
          <w:color w:val="auto"/>
          <w:spacing w:val="5"/>
          <w:sz w:val="32"/>
          <w:szCs w:val="32"/>
        </w:rPr>
        <w:t>烟草专</w:t>
      </w:r>
      <w:r>
        <w:rPr>
          <w:rFonts w:hint="eastAsia" w:ascii="CESI仿宋-GB2312" w:hAnsi="CESI仿宋-GB2312" w:eastAsia="CESI仿宋-GB2312" w:cs="CESI仿宋-GB2312"/>
          <w:b w:val="0"/>
          <w:color w:val="auto"/>
          <w:spacing w:val="8"/>
          <w:sz w:val="32"/>
          <w:szCs w:val="32"/>
        </w:rPr>
        <w:t>卖局管辖区域划分为若干市场最小单元。</w:t>
      </w:r>
    </w:p>
    <w:p w14:paraId="4FCE4291">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8"/>
          <w:sz w:val="32"/>
          <w:szCs w:val="32"/>
        </w:rPr>
      </w:pPr>
      <w:r>
        <w:rPr>
          <w:rStyle w:val="14"/>
          <w:rFonts w:hint="eastAsia" w:ascii="楷体_GB2312" w:hAnsi="楷体_GB2312" w:eastAsia="楷体_GB2312" w:cs="楷体_GB2312"/>
          <w:b w:val="0"/>
          <w:sz w:val="32"/>
        </w:rPr>
        <w:t>第七条</w:t>
      </w:r>
      <w:r>
        <w:rPr>
          <w:rFonts w:hint="eastAsia" w:ascii="Times New Roman" w:hAnsi="Times New Roman" w:eastAsia="仿宋_GB2312" w:cs="仿宋_GB2312"/>
          <w:b w:val="0"/>
          <w:color w:val="auto"/>
          <w:spacing w:val="9"/>
          <w:sz w:val="32"/>
          <w:szCs w:val="32"/>
          <w:lang w:val="en-US" w:eastAsia="zh-CN"/>
        </w:rPr>
        <w:t xml:space="preserve"> </w:t>
      </w:r>
      <w:r>
        <w:rPr>
          <w:rFonts w:hint="eastAsia" w:ascii="CESI仿宋-GB2312" w:hAnsi="CESI仿宋-GB2312" w:eastAsia="CESI仿宋-GB2312" w:cs="CESI仿宋-GB2312"/>
          <w:b w:val="0"/>
          <w:color w:val="auto"/>
          <w:spacing w:val="9"/>
          <w:sz w:val="32"/>
          <w:szCs w:val="32"/>
          <w:lang w:val="en-US" w:eastAsia="zh-CN"/>
        </w:rPr>
        <w:t>文水县</w:t>
      </w:r>
      <w:r>
        <w:rPr>
          <w:rFonts w:hint="eastAsia" w:ascii="CESI仿宋-GB2312" w:hAnsi="CESI仿宋-GB2312" w:eastAsia="CESI仿宋-GB2312" w:cs="CESI仿宋-GB2312"/>
          <w:b w:val="0"/>
          <w:color w:val="auto"/>
          <w:spacing w:val="9"/>
          <w:sz w:val="32"/>
          <w:szCs w:val="32"/>
        </w:rPr>
        <w:t>烟草专卖局根据市场形势的变</w:t>
      </w:r>
      <w:r>
        <w:rPr>
          <w:rFonts w:hint="eastAsia" w:ascii="CESI仿宋-GB2312" w:hAnsi="CESI仿宋-GB2312" w:eastAsia="CESI仿宋-GB2312" w:cs="CESI仿宋-GB2312"/>
          <w:b w:val="0"/>
          <w:color w:val="auto"/>
          <w:spacing w:val="8"/>
          <w:sz w:val="32"/>
          <w:szCs w:val="32"/>
        </w:rPr>
        <w:t>化及政</w:t>
      </w:r>
      <w:r>
        <w:rPr>
          <w:rFonts w:hint="eastAsia" w:ascii="CESI仿宋-GB2312" w:hAnsi="CESI仿宋-GB2312" w:eastAsia="CESI仿宋-GB2312" w:cs="CESI仿宋-GB2312"/>
          <w:b w:val="0"/>
          <w:color w:val="auto"/>
          <w:spacing w:val="5"/>
          <w:sz w:val="32"/>
          <w:szCs w:val="32"/>
        </w:rPr>
        <w:t>策调整等，每三个月对最小市场单元</w:t>
      </w:r>
      <w:r>
        <w:rPr>
          <w:rFonts w:hint="eastAsia" w:ascii="CESI仿宋-GB2312" w:hAnsi="CESI仿宋-GB2312" w:eastAsia="CESI仿宋-GB2312" w:cs="CESI仿宋-GB2312"/>
          <w:b w:val="0"/>
          <w:color w:val="auto"/>
          <w:spacing w:val="7"/>
          <w:sz w:val="32"/>
          <w:szCs w:val="32"/>
        </w:rPr>
        <w:t>零售点指导数量、现有零售点数量、可新增零售</w:t>
      </w:r>
      <w:r>
        <w:rPr>
          <w:rFonts w:hint="eastAsia" w:ascii="CESI仿宋-GB2312" w:hAnsi="CESI仿宋-GB2312" w:eastAsia="CESI仿宋-GB2312" w:cs="CESI仿宋-GB2312"/>
          <w:b w:val="0"/>
          <w:color w:val="auto"/>
          <w:spacing w:val="6"/>
          <w:sz w:val="32"/>
          <w:szCs w:val="32"/>
        </w:rPr>
        <w:t>点数量</w:t>
      </w:r>
      <w:r>
        <w:rPr>
          <w:rFonts w:hint="eastAsia" w:ascii="CESI仿宋-GB2312" w:hAnsi="CESI仿宋-GB2312" w:eastAsia="CESI仿宋-GB2312" w:cs="CESI仿宋-GB2312"/>
          <w:b w:val="0"/>
          <w:color w:val="auto"/>
          <w:spacing w:val="5"/>
          <w:sz w:val="32"/>
          <w:szCs w:val="32"/>
        </w:rPr>
        <w:t>进行动态调整，在</w:t>
      </w:r>
      <w:r>
        <w:rPr>
          <w:rFonts w:hint="eastAsia" w:ascii="CESI仿宋-GB2312" w:hAnsi="CESI仿宋-GB2312" w:eastAsia="CESI仿宋-GB2312" w:cs="CESI仿宋-GB2312"/>
          <w:b w:val="0"/>
          <w:color w:val="auto"/>
          <w:spacing w:val="5"/>
          <w:sz w:val="32"/>
          <w:szCs w:val="32"/>
          <w:lang w:val="en-US" w:eastAsia="zh-CN"/>
        </w:rPr>
        <w:t>文水县</w:t>
      </w:r>
      <w:r>
        <w:rPr>
          <w:rFonts w:hint="eastAsia" w:ascii="CESI仿宋-GB2312" w:hAnsi="CESI仿宋-GB2312" w:eastAsia="CESI仿宋-GB2312" w:cs="CESI仿宋-GB2312"/>
          <w:b w:val="0"/>
          <w:color w:val="auto"/>
          <w:spacing w:val="8"/>
          <w:sz w:val="32"/>
          <w:szCs w:val="32"/>
        </w:rPr>
        <w:t>烟草专卖局办证大厅依法依规公告后施行。</w:t>
      </w:r>
    </w:p>
    <w:p w14:paraId="1302BF14">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64" w:firstLineChars="200"/>
        <w:jc w:val="left"/>
        <w:textAlignment w:val="baseline"/>
        <w:rPr>
          <w:rFonts w:hint="eastAsia" w:ascii="CESI仿宋-GB2312" w:hAnsi="CESI仿宋-GB2312" w:eastAsia="CESI仿宋-GB2312" w:cs="CESI仿宋-GB2312"/>
          <w:b w:val="0"/>
          <w:color w:val="auto"/>
          <w:spacing w:val="8"/>
          <w:sz w:val="32"/>
          <w:szCs w:val="32"/>
          <w:lang w:eastAsia="zh-CN"/>
        </w:rPr>
      </w:pPr>
    </w:p>
    <w:p w14:paraId="69FC0D55">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48" w:firstLineChars="200"/>
        <w:jc w:val="center"/>
        <w:textAlignment w:val="baseline"/>
        <w:outlineLvl w:val="0"/>
        <w:rPr>
          <w:rFonts w:hint="eastAsia" w:ascii="Times New Roman" w:hAnsi="Times New Roman" w:eastAsia="仿宋_GB2312" w:cs="仿宋_GB2312"/>
          <w:b w:val="0"/>
          <w:strike w:val="0"/>
          <w:dstrike w:val="0"/>
          <w:color w:val="auto"/>
          <w:spacing w:val="5"/>
          <w:sz w:val="32"/>
          <w:szCs w:val="32"/>
          <w:lang w:eastAsia="zh-CN"/>
        </w:rPr>
      </w:pPr>
      <w:r>
        <w:rPr>
          <w:rFonts w:hint="eastAsia" w:ascii="黑体" w:hAnsi="黑体" w:eastAsia="黑体" w:cs="黑体"/>
          <w:b w:val="0"/>
          <w:color w:val="auto"/>
          <w:spacing w:val="4"/>
          <w:position w:val="1"/>
          <w:sz w:val="32"/>
          <w:szCs w:val="32"/>
        </w:rPr>
        <w:t>第三章</w:t>
      </w:r>
      <w:r>
        <w:rPr>
          <w:rFonts w:hint="eastAsia" w:ascii="黑体" w:hAnsi="黑体" w:eastAsia="黑体" w:cs="黑体"/>
          <w:b w:val="0"/>
          <w:color w:val="auto"/>
          <w:spacing w:val="25"/>
          <w:position w:val="1"/>
          <w:sz w:val="32"/>
          <w:szCs w:val="32"/>
        </w:rPr>
        <w:t xml:space="preserve">  </w:t>
      </w:r>
      <w:r>
        <w:rPr>
          <w:rFonts w:hint="eastAsia" w:ascii="黑体" w:hAnsi="黑体" w:eastAsia="黑体" w:cs="黑体"/>
          <w:b w:val="0"/>
          <w:color w:val="auto"/>
          <w:spacing w:val="4"/>
          <w:position w:val="1"/>
          <w:sz w:val="32"/>
          <w:szCs w:val="32"/>
        </w:rPr>
        <w:t>间距及总量标准</w:t>
      </w:r>
    </w:p>
    <w:p w14:paraId="42D63C3E">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Style w:val="14"/>
          <w:rFonts w:hint="eastAsia" w:ascii="楷体_GB2312" w:hAnsi="楷体_GB2312" w:eastAsia="楷体_GB2312" w:cs="楷体_GB2312"/>
          <w:b w:val="0"/>
          <w:sz w:val="32"/>
          <w:lang w:val="en-US" w:eastAsia="zh-CN"/>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八条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bCs w:val="0"/>
          <w:color w:val="auto"/>
          <w:spacing w:val="9"/>
          <w:sz w:val="32"/>
          <w:szCs w:val="32"/>
          <w:lang w:val="en-US" w:eastAsia="zh-CN"/>
        </w:rPr>
        <w:t>市场单元划分。将市场单元划分为城镇区域市场、农村区域市场、各特殊功能区域等最小市场单元。</w:t>
      </w:r>
    </w:p>
    <w:p w14:paraId="44308C3E">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Fonts w:hint="eastAsia" w:ascii="CESI仿宋-GB2312" w:hAnsi="CESI仿宋-GB2312" w:eastAsia="CESI仿宋-GB2312" w:cs="CESI仿宋-GB2312"/>
          <w:b w:val="0"/>
          <w:bCs w:val="0"/>
          <w:color w:val="auto"/>
          <w:spacing w:val="9"/>
          <w:sz w:val="32"/>
          <w:szCs w:val="32"/>
          <w:lang w:val="en-US" w:eastAsia="zh-CN"/>
        </w:rPr>
        <w:t>（一）南环路以北、新307国道城区段以东、北环路以南、东环路以西（包括以上道路两侧临街门面房）之内的城区区域，本规定统称为城镇区域市场；</w:t>
      </w:r>
    </w:p>
    <w:p w14:paraId="6AB008F8">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bCs w:val="0"/>
          <w:color w:val="auto"/>
          <w:spacing w:val="9"/>
          <w:sz w:val="32"/>
          <w:szCs w:val="32"/>
          <w:lang w:val="en-US" w:eastAsia="zh-CN"/>
        </w:rPr>
      </w:pPr>
      <w:r>
        <w:rPr>
          <w:rFonts w:hint="eastAsia" w:ascii="CESI仿宋-GB2312" w:hAnsi="CESI仿宋-GB2312" w:eastAsia="CESI仿宋-GB2312" w:cs="CESI仿宋-GB2312"/>
          <w:b w:val="0"/>
          <w:bCs w:val="0"/>
          <w:color w:val="auto"/>
          <w:spacing w:val="9"/>
          <w:sz w:val="32"/>
          <w:szCs w:val="32"/>
          <w:lang w:val="en-US" w:eastAsia="zh-CN"/>
        </w:rPr>
        <w:t>（二）以上合围城区范围之外的各乡（镇）所在地、行政村、自然村，本规定统称为农村区域市场；</w:t>
      </w:r>
    </w:p>
    <w:p w14:paraId="53AC931B">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三）住宅小区内部、工厂企业内部、大型建筑工地及景点、火车站候车室及站前广场、大型购物中心、步行街、集贸市场内部（包括：集贸、农贸、批发）、宾馆酒店内部、饭店内部等场所，本规定统称为特殊片区。</w:t>
      </w:r>
    </w:p>
    <w:p w14:paraId="4B70198D">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 xml:space="preserve">第九条 </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城镇区域市场内按照网格单元的间距和数量规定。</w:t>
      </w:r>
    </w:p>
    <w:p w14:paraId="61847F6C">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（一）城镇区域市场内各社区（村）网格，零售点间距同侧（同方向）不少于50米，不同侧（不同方向）不少于30米；</w:t>
      </w:r>
    </w:p>
    <w:p w14:paraId="3262390D">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（二）城镇区域市场内各网格单元零售户设定数量：</w:t>
      </w:r>
    </w:p>
    <w:p w14:paraId="39FAAF00">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default" w:ascii="CESI仿宋-GB2312" w:hAnsi="CESI仿宋-GB2312" w:eastAsia="CESI仿宋-GB2312" w:cs="CESI仿宋-GB2312"/>
          <w:b w:val="0"/>
          <w:bCs/>
          <w:color w:val="000000" w:themeColor="text1"/>
          <w:spacing w:val="4"/>
          <w:sz w:val="32"/>
          <w:szCs w:val="32"/>
          <w:lang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东街社区网格55户；南街社区网格73户；西街社区网格68户；北街社区网格70户；北关社区网格22户；南关社区网格42户;韩村社区网格80户；私评社区网格42户；岳村社区网格28户；堡子社区网格67户；土堂社区网格48户；冀周社区网格46户；桑村社区网格34户；</w:t>
      </w:r>
    </w:p>
    <w:p w14:paraId="7C85E5F8">
      <w:pPr>
        <w:keepNext w:val="0"/>
        <w:keepLines w:val="0"/>
        <w:pageBreakBefore w:val="0"/>
        <w:widowControl w:val="0"/>
        <w:kinsoku/>
        <w:wordWrap/>
        <w:overflowPunct/>
        <w:topLinePunct w:val="0"/>
        <w:bidi w:val="0"/>
        <w:adjustRightInd/>
        <w:snapToGrid/>
        <w:spacing w:after="118" w:afterLines="20" w:line="560" w:lineRule="exact"/>
        <w:ind w:right="0" w:firstLine="632"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Style w:val="14"/>
          <w:rFonts w:hint="eastAsia" w:ascii="楷体_GB2312" w:hAnsi="楷体_GB2312" w:eastAsia="楷体_GB2312" w:cs="楷体_GB2312"/>
          <w:b w:val="0"/>
          <w:bCs/>
          <w:color w:val="000000" w:themeColor="text1"/>
          <w:sz w:val="32"/>
          <w:lang w:val="en-US" w:eastAsia="zh-CN"/>
          <w14:textFill>
            <w14:solidFill>
              <w14:schemeClr w14:val="tx1"/>
            </w14:solidFill>
          </w14:textFill>
        </w:rPr>
        <w:t>第十条</w:t>
      </w:r>
      <w:r>
        <w:rPr>
          <w:rFonts w:hint="eastAsia" w:ascii="Times New Roman" w:hAnsi="Times New Roman" w:eastAsia="仿宋_GB2312" w:cs="仿宋_GB2312"/>
          <w:b w:val="0"/>
          <w:bCs/>
          <w:color w:val="000000" w:themeColor="text1"/>
          <w:spacing w:val="4"/>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农村区域市场按照村人口数量结合间距标准设定。</w:t>
      </w:r>
    </w:p>
    <w:p w14:paraId="2EBF2D72">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8" w:firstLineChars="200"/>
        <w:jc w:val="left"/>
        <w:textAlignment w:val="baseline"/>
        <w:rPr>
          <w:rFonts w:hint="default"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（一）根据尊重历史的原则，结合现有住村人口实际情况，农村行政村、自然村常驻人口200人以内且不低于150人可设一个零售点；按照每增加150人可增加一个零售点的标准设置零售点数量。</w:t>
      </w:r>
    </w:p>
    <w:p w14:paraId="3613D5C5">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8" w:firstLineChars="200"/>
        <w:jc w:val="left"/>
        <w:textAlignment w:val="baseline"/>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pP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（二）农村区域市场内，经营业态为超市、便利店的零售点间距不少于30米；其他业态类型的零售点间距不少于100米。</w:t>
      </w:r>
    </w:p>
    <w:p w14:paraId="5A251579">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第十一条</w:t>
      </w:r>
      <w:r>
        <w:rPr>
          <w:rFonts w:hint="eastAsia" w:ascii="Times New Roman" w:hAnsi="Times New Roman" w:eastAsia="仿宋_GB2312" w:cs="仿宋_GB2312"/>
          <w:b w:val="0"/>
          <w:color w:val="000000" w:themeColor="text1"/>
          <w:spacing w:val="4"/>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对有相对界限参照的单独功能性区域，根据所在</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市场最小单元格可新增零售点数量，按以下标准设置零售点：</w:t>
      </w:r>
    </w:p>
    <w:p w14:paraId="09E1BAAD">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z w:val="32"/>
          <w:szCs w:val="32"/>
          <w:lang w:eastAsia="zh-CN"/>
        </w:rPr>
      </w:pPr>
      <w:r>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z w:val="32"/>
          <w:szCs w:val="32"/>
          <w14:textFill>
            <w14:solidFill>
              <w14:schemeClr w14:val="tx1"/>
            </w14:solidFill>
          </w14:textFill>
        </w:rPr>
        <w:t>实行封闭管理的住宅小区内，每</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150</w:t>
      </w:r>
      <w:r>
        <w:rPr>
          <w:rFonts w:hint="eastAsia" w:ascii="CESI仿宋-GB2312" w:hAnsi="CESI仿宋-GB2312" w:eastAsia="CESI仿宋-GB2312" w:cs="CESI仿宋-GB2312"/>
          <w:b w:val="0"/>
          <w:color w:val="000000" w:themeColor="text1"/>
          <w:sz w:val="32"/>
          <w:szCs w:val="32"/>
          <w14:textFill>
            <w14:solidFill>
              <w14:schemeClr w14:val="tx1"/>
            </w14:solidFill>
          </w14:textFill>
        </w:rPr>
        <w:t>户可在小区内设</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置</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个零售点，每增加</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150</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户增加一个零售点且零售点</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间隔距离</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不小于</w:t>
      </w: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30</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米，最多不超过</w:t>
      </w: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5</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个；小区外围商铺经营门店应面向</w:t>
      </w:r>
      <w:r>
        <w:rPr>
          <w:rFonts w:hint="eastAsia" w:ascii="CESI仿宋-GB2312" w:hAnsi="CESI仿宋-GB2312" w:eastAsia="CESI仿宋-GB2312" w:cs="CESI仿宋-GB2312"/>
          <w:b w:val="0"/>
          <w:color w:val="auto"/>
          <w:spacing w:val="8"/>
          <w:sz w:val="32"/>
          <w:szCs w:val="32"/>
        </w:rPr>
        <w:t>街道</w:t>
      </w:r>
      <w:r>
        <w:rPr>
          <w:rFonts w:hint="eastAsia" w:ascii="CESI仿宋-GB2312" w:hAnsi="CESI仿宋-GB2312" w:eastAsia="CESI仿宋-GB2312" w:cs="CESI仿宋-GB2312"/>
          <w:b w:val="0"/>
          <w:color w:val="auto"/>
          <w:spacing w:val="8"/>
          <w:sz w:val="32"/>
          <w:szCs w:val="32"/>
          <w:lang w:eastAsia="zh-CN"/>
        </w:rPr>
        <w:t>零售点间距不少于</w:t>
      </w:r>
      <w:r>
        <w:rPr>
          <w:rFonts w:hint="eastAsia" w:ascii="CESI仿宋-GB2312" w:hAnsi="CESI仿宋-GB2312" w:eastAsia="CESI仿宋-GB2312" w:cs="CESI仿宋-GB2312"/>
          <w:b w:val="0"/>
          <w:color w:val="auto"/>
          <w:spacing w:val="8"/>
          <w:sz w:val="32"/>
          <w:szCs w:val="32"/>
          <w:lang w:val="en-US" w:eastAsia="zh-CN"/>
        </w:rPr>
        <w:t>50米</w:t>
      </w:r>
      <w:r>
        <w:rPr>
          <w:rFonts w:hint="eastAsia" w:ascii="CESI仿宋-GB2312" w:hAnsi="CESI仿宋-GB2312" w:eastAsia="CESI仿宋-GB2312" w:cs="CESI仿宋-GB2312"/>
          <w:b w:val="0"/>
          <w:color w:val="auto"/>
          <w:spacing w:val="8"/>
          <w:sz w:val="32"/>
          <w:szCs w:val="32"/>
          <w:lang w:eastAsia="zh-CN"/>
        </w:rPr>
        <w:t>；</w:t>
      </w:r>
    </w:p>
    <w:p w14:paraId="76468294">
      <w:pPr>
        <w:keepNext w:val="0"/>
        <w:keepLines w:val="0"/>
        <w:pageBreakBefore w:val="0"/>
        <w:widowControl w:val="0"/>
        <w:kinsoku/>
        <w:wordWrap/>
        <w:overflowPunct/>
        <w:topLinePunct w:val="0"/>
        <w:bidi w:val="0"/>
        <w:adjustRightInd/>
        <w:snapToGrid/>
        <w:spacing w:after="118" w:afterLines="20" w:line="560" w:lineRule="exact"/>
        <w:ind w:left="0" w:leftChars="0" w:right="0" w:firstLine="664" w:firstLineChars="200"/>
        <w:jc w:val="left"/>
        <w:textAlignment w:val="baseline"/>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（二）火车站、</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汽车客运站</w:t>
      </w:r>
      <w:r>
        <w:rPr>
          <w:rFonts w:hint="eastAsia" w:ascii="CESI仿宋-GB2312" w:hAnsi="CESI仿宋-GB2312" w:eastAsia="CESI仿宋-GB2312" w:cs="CESI仿宋-GB2312"/>
          <w:b w:val="0"/>
          <w:color w:val="000000" w:themeColor="text1"/>
          <w:spacing w:val="8"/>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高速公路服务区内可设置</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零售点</w:t>
      </w:r>
      <w:r>
        <w:rPr>
          <w:rFonts w:hint="eastAsia" w:ascii="CESI仿宋-GB2312" w:hAnsi="CESI仿宋-GB2312" w:eastAsia="CESI仿宋-GB2312" w:cs="CESI仿宋-GB2312"/>
          <w:b w:val="0"/>
          <w:color w:val="000000" w:themeColor="text1"/>
          <w:spacing w:val="8"/>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个</w:t>
      </w:r>
      <w:r>
        <w:rPr>
          <w:rFonts w:hint="eastAsia" w:ascii="CESI仿宋-GB2312" w:hAnsi="CESI仿宋-GB2312" w:eastAsia="CESI仿宋-GB2312" w:cs="CESI仿宋-GB2312"/>
          <w:b w:val="0"/>
          <w:color w:val="000000" w:themeColor="text1"/>
          <w:spacing w:val="8"/>
          <w:sz w:val="32"/>
          <w:szCs w:val="32"/>
          <w:lang w:eastAsia="zh-CN"/>
          <w14:textFill>
            <w14:solidFill>
              <w14:schemeClr w14:val="tx1"/>
            </w14:solidFill>
          </w14:textFill>
        </w:rPr>
        <w:t>；</w:t>
      </w:r>
    </w:p>
    <w:p w14:paraId="356D13BA">
      <w:pPr>
        <w:keepNext w:val="0"/>
        <w:keepLines w:val="0"/>
        <w:pageBreakBefore w:val="0"/>
        <w:widowControl w:val="0"/>
        <w:kinsoku/>
        <w:wordWrap/>
        <w:overflowPunct/>
        <w:topLinePunct w:val="0"/>
        <w:bidi w:val="0"/>
        <w:adjustRightInd/>
        <w:snapToGrid/>
        <w:spacing w:after="118" w:afterLines="20" w:line="560" w:lineRule="exact"/>
        <w:ind w:left="0" w:leftChars="0" w:right="0" w:firstLine="668" w:firstLineChars="200"/>
        <w:jc w:val="left"/>
        <w:textAlignment w:val="baseline"/>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9"/>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商业综合体、商用主楼内部零售点设</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置数量不超过2个，零售点应设置在与超市或已形成实际商品展卖场</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所的同层</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14:paraId="5DD5E2B6">
      <w:pPr>
        <w:keepNext w:val="0"/>
        <w:keepLines w:val="0"/>
        <w:pageBreakBefore w:val="0"/>
        <w:widowControl w:val="0"/>
        <w:kinsoku/>
        <w:wordWrap/>
        <w:overflowPunct/>
        <w:topLinePunct w:val="0"/>
        <w:bidi w:val="0"/>
        <w:adjustRightInd/>
        <w:snapToGrid/>
        <w:spacing w:after="118" w:afterLines="20" w:line="560" w:lineRule="exact"/>
        <w:ind w:left="0" w:leftChars="0" w:right="0" w:firstLine="660" w:firstLineChars="200"/>
        <w:jc w:val="left"/>
        <w:textAlignment w:val="baseline"/>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t>（四）旅游景区、大型公园内部等满足景区游客需要的，可设置1个零售点；</w:t>
      </w:r>
    </w:p>
    <w:p w14:paraId="25A9DFE0">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看守所、军队驻地等相对封闭以满足</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特定人群</w:t>
      </w:r>
      <w:r>
        <w:rPr>
          <w:rFonts w:hint="eastAsia" w:ascii="CESI仿宋-GB2312" w:hAnsi="CESI仿宋-GB2312" w:eastAsia="CESI仿宋-GB2312" w:cs="CESI仿宋-GB2312"/>
          <w:b w:val="0"/>
          <w:color w:val="000000" w:themeColor="text1"/>
          <w:spacing w:val="10"/>
          <w:sz w:val="32"/>
          <w:szCs w:val="32"/>
          <w14:textFill>
            <w14:solidFill>
              <w14:schemeClr w14:val="tx1"/>
            </w14:solidFill>
          </w14:textFill>
        </w:rPr>
        <w:t>消费的生活场所，可设置1</w:t>
      </w:r>
      <w:r>
        <w:rPr>
          <w:rFonts w:hint="eastAsia" w:ascii="CESI仿宋-GB2312" w:hAnsi="CESI仿宋-GB2312" w:eastAsia="CESI仿宋-GB2312" w:cs="CESI仿宋-GB2312"/>
          <w:b w:val="0"/>
          <w:color w:val="000000" w:themeColor="text1"/>
          <w:spacing w:val="-51"/>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0"/>
          <w:sz w:val="32"/>
          <w:szCs w:val="32"/>
          <w14:textFill>
            <w14:solidFill>
              <w14:schemeClr w14:val="tx1"/>
            </w14:solidFill>
          </w14:textFill>
        </w:rPr>
        <w:t>个零售点</w:t>
      </w:r>
      <w:r>
        <w:rPr>
          <w:rFonts w:hint="eastAsia" w:ascii="CESI仿宋-GB2312" w:hAnsi="CESI仿宋-GB2312" w:eastAsia="CESI仿宋-GB2312" w:cs="CESI仿宋-GB2312"/>
          <w:b w:val="0"/>
          <w:color w:val="000000" w:themeColor="text1"/>
          <w:spacing w:val="10"/>
          <w:sz w:val="32"/>
          <w:szCs w:val="32"/>
          <w:lang w:eastAsia="zh-CN"/>
          <w14:textFill>
            <w14:solidFill>
              <w14:schemeClr w14:val="tx1"/>
            </w14:solidFill>
          </w14:textFill>
        </w:rPr>
        <w:t>；</w:t>
      </w:r>
    </w:p>
    <w:p w14:paraId="2BA3309E">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50"/>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相对封闭、满足安全管理要求的大型工矿企业</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大型建筑工地内部</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1000</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人以下的，零售点可设置</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个；</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1</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000人以上</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的，零售点不超过</w:t>
      </w:r>
      <w:r>
        <w:rPr>
          <w:rFonts w:hint="eastAsia" w:ascii="CESI仿宋-GB2312" w:hAnsi="CESI仿宋-GB2312" w:eastAsia="CESI仿宋-GB2312" w:cs="CESI仿宋-GB2312"/>
          <w:b w:val="0"/>
          <w:color w:val="000000" w:themeColor="text1"/>
          <w:spacing w:val="50"/>
          <w:sz w:val="32"/>
          <w:szCs w:val="32"/>
          <w14:textFill>
            <w14:solidFill>
              <w14:schemeClr w14:val="tx1"/>
            </w14:solidFill>
          </w14:textFill>
        </w:rPr>
        <w:t>2个</w:t>
      </w:r>
      <w:r>
        <w:rPr>
          <w:rFonts w:hint="eastAsia" w:ascii="CESI仿宋-GB2312" w:hAnsi="CESI仿宋-GB2312" w:eastAsia="CESI仿宋-GB2312" w:cs="CESI仿宋-GB2312"/>
          <w:b w:val="0"/>
          <w:color w:val="000000" w:themeColor="text1"/>
          <w:spacing w:val="50"/>
          <w:sz w:val="32"/>
          <w:szCs w:val="32"/>
          <w:lang w:eastAsia="zh-CN"/>
          <w14:textFill>
            <w14:solidFill>
              <w14:schemeClr w14:val="tx1"/>
            </w14:solidFill>
          </w14:textFill>
        </w:rPr>
        <w:t>；</w:t>
      </w:r>
    </w:p>
    <w:p w14:paraId="3D4D0C4A">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auto"/>
          <w:spacing w:val="50"/>
          <w:sz w:val="32"/>
          <w:szCs w:val="32"/>
          <w:lang w:val="en-US" w:eastAsia="zh-CN"/>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国道、省道、县道、城镇区域市场新建街道两侧零售点，不受所在网格单元数量限制，但是</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零售点同方向（指同侧）</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、不同方向</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零售点的间距应不少于</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50</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米</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p>
    <w:p w14:paraId="65264C39">
      <w:pPr>
        <w:numPr>
          <w:ilvl w:val="0"/>
          <w:numId w:val="0"/>
        </w:numPr>
        <w:ind w:firstLine="632" w:firstLineChars="200"/>
        <w:rPr>
          <w:rFonts w:hint="eastAsia" w:ascii="CESI仿宋-GB2312" w:hAnsi="CESI仿宋-GB2312" w:eastAsia="CESI仿宋-GB2312" w:cs="CESI仿宋-GB2312"/>
          <w:b w:val="0"/>
          <w:color w:val="000000" w:themeColor="text1"/>
          <w:spacing w:val="50"/>
          <w:sz w:val="32"/>
          <w:szCs w:val="32"/>
          <w:lang w:val="en-US" w:eastAsia="zh-CN"/>
          <w14:textFill>
            <w14:solidFill>
              <w14:schemeClr w14:val="tx1"/>
            </w14:solidFill>
          </w14:textFill>
        </w:rPr>
      </w:pP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（八）宾馆酒店、饭店内部，能同时提供500人入住的宾馆酒店或2000人就餐的宾馆酒店、饭店，内部可以设置1个零售点。</w:t>
      </w:r>
    </w:p>
    <w:p w14:paraId="2F531F88">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CESI楷体-GB2312" w:hAnsi="CESI楷体-GB2312" w:eastAsia="CESI楷体-GB2312" w:cs="CESI楷体-GB2312"/>
          <w:b w:val="0"/>
          <w:color w:val="000000" w:themeColor="text1"/>
          <w:sz w:val="32"/>
          <w:szCs w:val="32"/>
          <w:lang w:val="en-US" w:eastAsia="zh-CN"/>
          <w14:textFill>
            <w14:solidFill>
              <w14:schemeClr w14:val="tx1"/>
            </w14:solidFill>
          </w14:textFill>
        </w:rPr>
        <w:t>第十二条</w:t>
      </w:r>
      <w:r>
        <w:rPr>
          <w:rFonts w:hint="eastAsia" w:ascii="CESI仿宋-GB2312" w:hAnsi="CESI仿宋-GB2312" w:eastAsia="CESI仿宋-GB2312" w:cs="CESI仿宋-GB2312"/>
          <w:b w:val="0"/>
          <w:color w:val="FF0000"/>
          <w:spacing w:val="4"/>
          <w:sz w:val="32"/>
          <w:szCs w:val="32"/>
          <w:lang w:val="en-US" w:eastAsia="zh-CN"/>
        </w:rPr>
        <w:t xml:space="preserve"> </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符合下列情形之一的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，不受市场最小单元</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网</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格可新增零售点数量限制，</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城镇区域市场网格</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零售点间距</w:t>
      </w:r>
      <w:r>
        <w:rPr>
          <w:rFonts w:hint="eastAsia" w:ascii="CESI仿宋-GB2312" w:hAnsi="CESI仿宋-GB2312" w:eastAsia="CESI仿宋-GB2312" w:cs="CESI仿宋-GB2312"/>
          <w:b w:val="0"/>
          <w:color w:val="000000" w:themeColor="text1"/>
          <w:spacing w:val="11"/>
          <w:sz w:val="32"/>
          <w:szCs w:val="32"/>
          <w:lang w:val="en-US" w:eastAsia="zh-CN"/>
          <w14:textFill>
            <w14:solidFill>
              <w14:schemeClr w14:val="tx1"/>
            </w14:solidFill>
          </w14:textFill>
        </w:rPr>
        <w:t>按照不低于30米</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设置</w:t>
      </w:r>
      <w:r>
        <w:rPr>
          <w:rFonts w:hint="eastAsia" w:ascii="CESI仿宋-GB2312" w:hAnsi="CESI仿宋-GB2312" w:eastAsia="CESI仿宋-GB2312" w:cs="CESI仿宋-GB2312"/>
          <w:b w:val="0"/>
          <w:color w:val="000000" w:themeColor="text1"/>
          <w:spacing w:val="11"/>
          <w:sz w:val="32"/>
          <w:szCs w:val="32"/>
          <w:lang w:eastAsia="zh-CN"/>
          <w14:textFill>
            <w14:solidFill>
              <w14:schemeClr w14:val="tx1"/>
            </w14:solidFill>
          </w14:textFill>
        </w:rPr>
        <w:t>，</w:t>
      </w:r>
      <w:r>
        <w:rPr>
          <w:rFonts w:hint="eastAsia" w:ascii="CESI仿宋-GB2312" w:hAnsi="CESI仿宋-GB2312" w:eastAsia="CESI仿宋-GB2312" w:cs="CESI仿宋-GB2312"/>
          <w:b w:val="0"/>
          <w:bCs/>
          <w:color w:val="000000" w:themeColor="text1"/>
          <w:spacing w:val="4"/>
          <w:sz w:val="32"/>
          <w:szCs w:val="32"/>
          <w:lang w:val="en-US" w:eastAsia="zh-CN"/>
          <w14:textFill>
            <w14:solidFill>
              <w14:schemeClr w14:val="tx1"/>
            </w14:solidFill>
          </w14:textFill>
        </w:rPr>
        <w:t>农村区域市场网格不设间距限制，</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且不计入当期</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可新增零售点数量：</w:t>
      </w:r>
    </w:p>
    <w:p w14:paraId="4EFA0E92">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（一）</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持有残疾证（精神残疾、智力残疾等除外），能提供有效书面证明，具有完全民事行为能力，本人独立（个体）经营且无合伙、雇佣经营情形的，在本</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县</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范围内首次申请烟草专卖零售许可证的</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p>
    <w:p w14:paraId="055BC86D">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（二）</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因战、因公致残的退出现役的伤残军人，持有政府、军队有关部门颁发的残疾军人证；无民事行为能力或限制民事行为能力的伤残军人，由其共同生活的家庭成员（具备完全民事行为能力的配偶、父母、子女）其中一人提出申请办理烟草专卖零售许可证</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r>
        <w:rPr>
          <w:rFonts w:hint="default"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军烈属（烈士的配偶、父母、子女），持有政府、军队有关部门颁发的军烈属证、革命烈士证等证明材料</w:t>
      </w: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w:t>
      </w:r>
    </w:p>
    <w:p w14:paraId="7473E1FE">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8"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（三）未设置零售户的“空白”行政村、自然村，可不受合理布局限制办理1户；</w:t>
      </w:r>
    </w:p>
    <w:p w14:paraId="509D8586">
      <w:pPr>
        <w:numPr>
          <w:ilvl w:val="0"/>
          <w:numId w:val="0"/>
        </w:numPr>
        <w:ind w:firstLine="628" w:firstLineChars="200"/>
        <w:rPr>
          <w:rFonts w:hint="default" w:eastAsia="宋体"/>
          <w:sz w:val="30"/>
          <w:szCs w:val="30"/>
          <w:lang w:val="en-US" w:eastAsia="zh-CN"/>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（四）各网格单元内</w:t>
      </w:r>
      <w:r>
        <w:rPr>
          <w:rFonts w:hint="eastAsia" w:ascii="CESI仿宋-GB2312" w:hAnsi="CESI仿宋-GB2312" w:eastAsia="CESI仿宋-GB2312" w:cs="CESI仿宋-GB2312"/>
          <w:b w:val="0"/>
          <w:strike w:val="0"/>
          <w:dstrike w:val="0"/>
          <w:color w:val="000000" w:themeColor="text1"/>
          <w:sz w:val="32"/>
          <w:szCs w:val="32"/>
          <w:lang w:val="en-US" w:eastAsia="zh-CN"/>
          <w14:textFill>
            <w14:solidFill>
              <w14:schemeClr w14:val="tx1"/>
            </w14:solidFill>
          </w14:textFill>
        </w:rPr>
        <w:t>面向</w:t>
      </w:r>
      <w:r>
        <w:rPr>
          <w:rFonts w:hint="eastAsia" w:ascii="CESI仿宋-GB2312" w:hAnsi="CESI仿宋-GB2312" w:eastAsia="CESI仿宋-GB2312" w:cs="CESI仿宋-GB2312"/>
          <w:b w:val="0"/>
          <w:strike w:val="0"/>
          <w:dstrike w:val="0"/>
          <w:color w:val="000000" w:themeColor="text1"/>
          <w:sz w:val="32"/>
          <w:szCs w:val="32"/>
          <w14:textFill>
            <w14:solidFill>
              <w14:schemeClr w14:val="tx1"/>
            </w14:solidFill>
          </w14:textFill>
        </w:rPr>
        <w:t>集中住宅区、实</w:t>
      </w:r>
      <w:r>
        <w:rPr>
          <w:rFonts w:hint="eastAsia" w:ascii="CESI仿宋-GB2312" w:hAnsi="CESI仿宋-GB2312" w:eastAsia="CESI仿宋-GB2312" w:cs="CESI仿宋-GB2312"/>
          <w:b w:val="0"/>
          <w:bCs/>
          <w:strike w:val="0"/>
          <w:dstrike w:val="0"/>
          <w:color w:val="000000" w:themeColor="text1"/>
          <w:kern w:val="0"/>
          <w:sz w:val="32"/>
          <w:szCs w:val="32"/>
          <w14:textFill>
            <w14:solidFill>
              <w14:schemeClr w14:val="tx1"/>
            </w14:solidFill>
          </w14:textFill>
        </w:rPr>
        <w:t>际</w:t>
      </w:r>
      <w:r>
        <w:rPr>
          <w:rFonts w:hint="eastAsia" w:ascii="CESI仿宋-GB2312" w:hAnsi="CESI仿宋-GB2312" w:eastAsia="CESI仿宋-GB2312" w:cs="CESI仿宋-GB2312"/>
          <w:b w:val="0"/>
          <w:bCs/>
          <w:strike w:val="0"/>
          <w:dstrike w:val="0"/>
          <w:color w:val="000000" w:themeColor="text1"/>
          <w:kern w:val="0"/>
          <w:sz w:val="32"/>
          <w:szCs w:val="32"/>
          <w:highlight w:val="none"/>
          <w14:textFill>
            <w14:solidFill>
              <w14:schemeClr w14:val="tx1"/>
            </w14:solidFill>
          </w14:textFill>
        </w:rPr>
        <w:t>营业面积大于</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80</w:t>
      </w:r>
      <w:r>
        <w:rPr>
          <w:rFonts w:hint="eastAsia" w:ascii="CESI仿宋-GB2312" w:hAnsi="CESI仿宋-GB2312" w:eastAsia="CESI仿宋-GB2312" w:cs="CESI仿宋-GB2312"/>
          <w:b w:val="0"/>
          <w:bCs/>
          <w:strike w:val="0"/>
          <w:dstrike w:val="0"/>
          <w:color w:val="000000" w:themeColor="text1"/>
          <w:kern w:val="0"/>
          <w:sz w:val="32"/>
          <w:szCs w:val="32"/>
          <w:highlight w:val="none"/>
          <w14:textFill>
            <w14:solidFill>
              <w14:schemeClr w14:val="tx1"/>
            </w14:solidFill>
          </w14:textFill>
        </w:rPr>
        <w:t>平米（不含仓储面积）</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的综合性超市和便利店、</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60平米以上（不含仓储面积）的烟草专营店（烟酒店），且</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摆放货架或柜台占总经营面积</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50%以上、货物满柜率90%以上经营产品丰富的；</w:t>
      </w:r>
    </w:p>
    <w:p w14:paraId="2C32288C">
      <w:pPr>
        <w:keepNext w:val="0"/>
        <w:keepLines w:val="0"/>
        <w:pageBreakBefore w:val="0"/>
        <w:widowControl w:val="0"/>
        <w:numPr>
          <w:ilvl w:val="0"/>
          <w:numId w:val="0"/>
        </w:numPr>
        <w:kinsoku/>
        <w:wordWrap/>
        <w:overflowPunct/>
        <w:topLinePunct w:val="0"/>
        <w:bidi w:val="0"/>
        <w:adjustRightInd/>
        <w:snapToGrid/>
        <w:spacing w:after="118" w:afterLines="20" w:line="560" w:lineRule="exact"/>
        <w:ind w:right="0" w:rightChars="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strike w:val="0"/>
          <w:dstrike w:val="0"/>
          <w:color w:val="000000" w:themeColor="text1"/>
          <w:kern w:val="0"/>
          <w:sz w:val="32"/>
          <w:szCs w:val="32"/>
          <w:highlight w:val="none"/>
          <w:lang w:val="en-US" w:eastAsia="zh-CN"/>
          <w14:textFill>
            <w14:solidFill>
              <w14:schemeClr w14:val="tx1"/>
            </w14:solidFill>
          </w14:textFill>
        </w:rPr>
        <w:t>五</w:t>
      </w:r>
      <w:r>
        <w:rPr>
          <w:rFonts w:hint="eastAsia" w:ascii="CESI仿宋-GB2312" w:hAnsi="CESI仿宋-GB2312" w:eastAsia="CESI仿宋-GB2312" w:cs="CESI仿宋-GB2312"/>
          <w:b w:val="0"/>
          <w:bCs/>
          <w:strike w:val="0"/>
          <w:dstrike w:val="0"/>
          <w:color w:val="000000" w:themeColor="text1"/>
          <w:kern w:val="0"/>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按照山西省人民政府办公厅《关于加快发展流通促进商业消费的实施意见》和山西省商务厅等13部门《关于促进品牌连锁便利店发展的实施意见》要求，品牌连锁便利店申请办理烟草专卖零售许可证的；</w:t>
      </w:r>
    </w:p>
    <w:p w14:paraId="415A5283">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因道路规划、城市建设、不可抗力等客观原因造</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成无法在核定经营地址经营，持证人申请变更到其他地址经营的</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p>
    <w:p w14:paraId="4BFBABB3">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2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strike w:val="0"/>
          <w:dstrike w:val="0"/>
          <w:color w:val="000000" w:themeColor="text1"/>
          <w:spacing w:val="-1"/>
          <w:sz w:val="32"/>
          <w:szCs w:val="32"/>
          <w:lang w:val="en-US" w:eastAsia="zh-CN"/>
          <w14:textFill>
            <w14:solidFill>
              <w14:schemeClr w14:val="tx1"/>
            </w14:solidFill>
          </w14:textFill>
        </w:rPr>
        <w:t>（七）城镇区域市场步行街范围内新申请许可证的</w:t>
      </w:r>
      <w:r>
        <w:rPr>
          <w:rFonts w:hint="eastAsia" w:ascii="CESI仿宋-GB2312" w:hAnsi="CESI仿宋-GB2312" w:eastAsia="CESI仿宋-GB2312" w:cs="CESI仿宋-GB2312"/>
          <w:b w:val="0"/>
          <w:strike w:val="0"/>
          <w:dstrike w:val="0"/>
          <w:color w:val="000000" w:themeColor="text1"/>
          <w:kern w:val="2"/>
          <w:sz w:val="32"/>
          <w:szCs w:val="32"/>
          <w:highlight w:val="none"/>
          <w:lang w:val="en-US" w:eastAsia="zh-CN" w:bidi="ar-SA"/>
          <w14:textFill>
            <w14:solidFill>
              <w14:schemeClr w14:val="tx1"/>
            </w14:solidFill>
          </w14:textFill>
        </w:rPr>
        <w:t>。</w:t>
      </w:r>
    </w:p>
    <w:p w14:paraId="3E14711F">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32" w:firstLineChars="200"/>
        <w:jc w:val="left"/>
        <w:textAlignment w:val="baseline"/>
        <w:rPr>
          <w:rFonts w:hint="eastAsia" w:ascii="CESI仿宋-GB2312" w:hAnsi="CESI仿宋-GB2312" w:eastAsia="CESI仿宋-GB2312" w:cs="CESI仿宋-GB2312"/>
          <w:b w:val="0"/>
          <w:bCs w:val="0"/>
          <w:color w:val="auto"/>
          <w:spacing w:val="7"/>
          <w:sz w:val="32"/>
          <w:szCs w:val="32"/>
        </w:rPr>
      </w:pPr>
      <w:r>
        <w:rPr>
          <w:rStyle w:val="14"/>
          <w:rFonts w:hint="eastAsia" w:ascii="楷体_GB2312" w:hAnsi="楷体_GB2312" w:eastAsia="楷体_GB2312" w:cs="楷体_GB2312"/>
          <w:b w:val="0"/>
          <w:bCs w:val="0"/>
          <w:color w:val="auto"/>
          <w:sz w:val="32"/>
          <w:lang w:val="en-US" w:eastAsia="zh-CN"/>
        </w:rPr>
        <w:t>第十三条</w:t>
      </w:r>
      <w:r>
        <w:rPr>
          <w:rFonts w:hint="eastAsia" w:ascii="Times New Roman" w:hAnsi="Times New Roman" w:eastAsia="仿宋_GB2312" w:cs="仿宋_GB2312"/>
          <w:b w:val="0"/>
          <w:bCs w:val="0"/>
          <w:color w:val="auto"/>
          <w:spacing w:val="4"/>
          <w:sz w:val="32"/>
          <w:szCs w:val="32"/>
          <w:lang w:val="en-US" w:eastAsia="zh-CN"/>
        </w:rPr>
        <w:t xml:space="preserve"> </w:t>
      </w:r>
      <w:r>
        <w:rPr>
          <w:rFonts w:hint="eastAsia" w:ascii="CESI仿宋-GB2312" w:hAnsi="CESI仿宋-GB2312" w:eastAsia="CESI仿宋-GB2312" w:cs="CESI仿宋-GB2312"/>
          <w:b w:val="0"/>
          <w:bCs w:val="0"/>
          <w:color w:val="auto"/>
          <w:spacing w:val="4"/>
          <w:sz w:val="32"/>
          <w:szCs w:val="32"/>
        </w:rPr>
        <w:t>符合下列情形之一的，不受间距标</w:t>
      </w:r>
      <w:r>
        <w:rPr>
          <w:rFonts w:hint="eastAsia" w:ascii="CESI仿宋-GB2312" w:hAnsi="CESI仿宋-GB2312" w:eastAsia="CESI仿宋-GB2312" w:cs="CESI仿宋-GB2312"/>
          <w:b w:val="0"/>
          <w:bCs w:val="0"/>
          <w:color w:val="auto"/>
          <w:spacing w:val="5"/>
          <w:sz w:val="32"/>
          <w:szCs w:val="32"/>
        </w:rPr>
        <w:t>准限制，不受本规定市场最小单元格</w:t>
      </w:r>
      <w:r>
        <w:rPr>
          <w:rFonts w:hint="eastAsia" w:ascii="CESI仿宋-GB2312" w:hAnsi="CESI仿宋-GB2312" w:eastAsia="CESI仿宋-GB2312" w:cs="CESI仿宋-GB2312"/>
          <w:b w:val="0"/>
          <w:bCs w:val="0"/>
          <w:color w:val="auto"/>
          <w:spacing w:val="5"/>
          <w:sz w:val="32"/>
          <w:szCs w:val="32"/>
          <w:lang w:eastAsia="zh-CN"/>
        </w:rPr>
        <w:t>数量限制</w:t>
      </w:r>
      <w:r>
        <w:rPr>
          <w:rFonts w:hint="eastAsia" w:ascii="CESI仿宋-GB2312" w:hAnsi="CESI仿宋-GB2312" w:eastAsia="CESI仿宋-GB2312" w:cs="CESI仿宋-GB2312"/>
          <w:b w:val="0"/>
          <w:bCs w:val="0"/>
          <w:strike w:val="0"/>
          <w:dstrike w:val="0"/>
          <w:color w:val="auto"/>
          <w:spacing w:val="5"/>
          <w:sz w:val="32"/>
          <w:szCs w:val="32"/>
        </w:rPr>
        <w:t>可新增零售点</w:t>
      </w:r>
      <w:r>
        <w:rPr>
          <w:rFonts w:hint="eastAsia" w:ascii="CESI仿宋-GB2312" w:hAnsi="CESI仿宋-GB2312" w:eastAsia="CESI仿宋-GB2312" w:cs="CESI仿宋-GB2312"/>
          <w:b w:val="0"/>
          <w:bCs w:val="0"/>
          <w:color w:val="auto"/>
          <w:spacing w:val="5"/>
          <w:sz w:val="32"/>
          <w:szCs w:val="32"/>
        </w:rPr>
        <w:t>，不</w:t>
      </w:r>
      <w:r>
        <w:rPr>
          <w:rFonts w:hint="eastAsia" w:ascii="CESI仿宋-GB2312" w:hAnsi="CESI仿宋-GB2312" w:eastAsia="CESI仿宋-GB2312" w:cs="CESI仿宋-GB2312"/>
          <w:b w:val="0"/>
          <w:bCs w:val="0"/>
          <w:color w:val="auto"/>
          <w:spacing w:val="7"/>
          <w:sz w:val="32"/>
          <w:szCs w:val="32"/>
        </w:rPr>
        <w:t>计入当期可新增零售点数量：</w:t>
      </w:r>
    </w:p>
    <w:p w14:paraId="612BB753">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64" w:firstLineChars="200"/>
        <w:jc w:val="left"/>
        <w:textAlignment w:val="baseline"/>
        <w:rPr>
          <w:rFonts w:hint="eastAsia" w:ascii="CESI仿宋-GB2312" w:hAnsi="CESI仿宋-GB2312" w:eastAsia="CESI仿宋-GB2312" w:cs="CESI仿宋-GB2312"/>
          <w:b w:val="0"/>
          <w:strike/>
          <w:dstrike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bCs w:val="0"/>
          <w:strike w:val="0"/>
          <w:dstrike w:val="0"/>
          <w:color w:val="000000" w:themeColor="text1"/>
          <w:spacing w:val="8"/>
          <w:sz w:val="32"/>
          <w:szCs w:val="32"/>
          <w:lang w:val="en-US" w:eastAsia="zh-CN"/>
          <w14:textFill>
            <w14:solidFill>
              <w14:schemeClr w14:val="tx1"/>
            </w14:solidFill>
          </w14:textFill>
        </w:rPr>
        <w:t>（一）</w:t>
      </w:r>
      <w:r>
        <w:rPr>
          <w:rFonts w:hint="eastAsia" w:ascii="CESI仿宋-GB2312" w:hAnsi="CESI仿宋-GB2312" w:eastAsia="CESI仿宋-GB2312" w:cs="CESI仿宋-GB2312"/>
          <w:b w:val="0"/>
          <w:bCs w:val="0"/>
          <w:strike w:val="0"/>
          <w:dstrike w:val="0"/>
          <w:color w:val="000000" w:themeColor="text1"/>
          <w:spacing w:val="3"/>
          <w:sz w:val="32"/>
          <w:szCs w:val="32"/>
          <w14:textFill>
            <w14:solidFill>
              <w14:schemeClr w14:val="tx1"/>
            </w14:solidFill>
          </w14:textFill>
        </w:rPr>
        <w:t>因个体工商户转型为个人独资企业（或个人独资企业转型为个体工商户）以外类型经营主体的（享受残疾人优</w:t>
      </w:r>
      <w:r>
        <w:rPr>
          <w:rFonts w:hint="eastAsia" w:ascii="CESI仿宋-GB2312" w:hAnsi="CESI仿宋-GB2312" w:eastAsia="CESI仿宋-GB2312" w:cs="CESI仿宋-GB2312"/>
          <w:b w:val="0"/>
          <w:strike w:val="0"/>
          <w:dstrike w:val="0"/>
          <w:color w:val="000000" w:themeColor="text1"/>
          <w:spacing w:val="3"/>
          <w:sz w:val="32"/>
          <w:szCs w:val="32"/>
          <w14:textFill>
            <w14:solidFill>
              <w14:schemeClr w14:val="tx1"/>
            </w14:solidFill>
          </w14:textFill>
        </w:rPr>
        <w:t>抚政策申请的个体工商户、个人独资企业除外）,企业内部转制改变经营主体的，继承改变经营主体的，法院判决、法人或其他组织分立、合并等原因改变经营主体的，因自然灾害、突发公共卫生事件等不可抗力及网络故障、撤县改区行政区划调整等客观原因导致未按期延续被注销许可证但经营主体及地址未发生变化的，</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从被注销之日起60个自然日内重新申领许可证的</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14:paraId="532CC45B">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4" w:firstLineChars="200"/>
        <w:jc w:val="left"/>
        <w:textAlignment w:val="baseline"/>
        <w:rPr>
          <w:rFonts w:hint="eastAsia" w:ascii="CESI仿宋-GB2312" w:hAnsi="CESI仿宋-GB2312" w:eastAsia="CESI仿宋-GB2312" w:cs="CESI仿宋-GB2312"/>
          <w:b w:val="0"/>
          <w:bCs w:val="0"/>
          <w:strike w:val="0"/>
          <w:dstrike w:val="0"/>
          <w:color w:val="auto"/>
          <w:spacing w:val="3"/>
          <w:sz w:val="32"/>
          <w:szCs w:val="32"/>
        </w:rPr>
      </w:pPr>
      <w:r>
        <w:rPr>
          <w:rFonts w:hint="eastAsia" w:ascii="CESI仿宋-GB2312" w:hAnsi="CESI仿宋-GB2312" w:eastAsia="CESI仿宋-GB2312" w:cs="CESI仿宋-GB2312"/>
          <w:b w:val="0"/>
          <w:bCs w:val="0"/>
          <w:strike w:val="0"/>
          <w:dstrike w:val="0"/>
          <w:color w:val="auto"/>
          <w:spacing w:val="3"/>
          <w:sz w:val="32"/>
          <w:szCs w:val="32"/>
        </w:rPr>
        <w:t>（</w:t>
      </w:r>
      <w:r>
        <w:rPr>
          <w:rFonts w:hint="eastAsia" w:ascii="CESI仿宋-GB2312" w:hAnsi="CESI仿宋-GB2312" w:eastAsia="CESI仿宋-GB2312" w:cs="CESI仿宋-GB2312"/>
          <w:b w:val="0"/>
          <w:bCs w:val="0"/>
          <w:strike w:val="0"/>
          <w:dstrike w:val="0"/>
          <w:color w:val="auto"/>
          <w:spacing w:val="3"/>
          <w:sz w:val="32"/>
          <w:szCs w:val="32"/>
          <w:lang w:val="en-US" w:eastAsia="zh-CN"/>
        </w:rPr>
        <w:t>二）雪茄烟零售点</w:t>
      </w:r>
      <w:r>
        <w:rPr>
          <w:rFonts w:hint="eastAsia" w:ascii="CESI仿宋-GB2312" w:hAnsi="CESI仿宋-GB2312" w:eastAsia="CESI仿宋-GB2312" w:cs="CESI仿宋-GB2312"/>
          <w:b w:val="0"/>
          <w:bCs w:val="0"/>
          <w:strike w:val="0"/>
          <w:dstrike w:val="0"/>
          <w:color w:val="auto"/>
          <w:spacing w:val="3"/>
          <w:sz w:val="32"/>
          <w:szCs w:val="32"/>
        </w:rPr>
        <w:t>经营范围仅为雪茄烟本店零售，营业面积</w:t>
      </w:r>
      <w:r>
        <w:rPr>
          <w:rFonts w:hint="eastAsia" w:ascii="CESI仿宋-GB2312" w:hAnsi="CESI仿宋-GB2312" w:eastAsia="CESI仿宋-GB2312" w:cs="CESI仿宋-GB2312"/>
          <w:b w:val="0"/>
          <w:bCs w:val="0"/>
          <w:strike w:val="0"/>
          <w:dstrike w:val="0"/>
          <w:color w:val="auto"/>
          <w:spacing w:val="3"/>
          <w:sz w:val="32"/>
          <w:szCs w:val="32"/>
          <w:lang w:val="en-US" w:eastAsia="zh-CN"/>
        </w:rPr>
        <w:t>10</w:t>
      </w:r>
      <w:r>
        <w:rPr>
          <w:rFonts w:hint="eastAsia" w:ascii="CESI仿宋-GB2312" w:hAnsi="CESI仿宋-GB2312" w:eastAsia="CESI仿宋-GB2312" w:cs="CESI仿宋-GB2312"/>
          <w:b w:val="0"/>
          <w:bCs w:val="0"/>
          <w:strike w:val="0"/>
          <w:dstrike w:val="0"/>
          <w:color w:val="auto"/>
          <w:spacing w:val="3"/>
          <w:sz w:val="32"/>
          <w:szCs w:val="32"/>
        </w:rPr>
        <w:t>0平米以上，</w:t>
      </w:r>
      <w:r>
        <w:rPr>
          <w:rFonts w:hint="eastAsia" w:ascii="仿宋_GB2312" w:hAnsi="仿宋_GB2312" w:eastAsia="仿宋_GB2312" w:cs="Times New Roman"/>
          <w:b w:val="0"/>
          <w:bCs w:val="0"/>
          <w:color w:val="auto"/>
          <w:kern w:val="2"/>
          <w:sz w:val="32"/>
          <w:szCs w:val="32"/>
          <w:highlight w:val="none"/>
          <w:lang w:val="en-US" w:eastAsia="zh-CN" w:bidi="ar-SA"/>
        </w:rPr>
        <w:t>且具备一定的雪茄烟品鉴环境或专业服务，最多可设置5个。</w:t>
      </w:r>
    </w:p>
    <w:p w14:paraId="297561B6">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四</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6"/>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符合下列情形之一，且经营主体未发生变化的，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不受市场最小单元格可新增零售点数量限制，不计入当期可新增零售点数量：</w:t>
      </w:r>
    </w:p>
    <w:p w14:paraId="7E1603BD">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44" w:firstLineChars="200"/>
        <w:jc w:val="left"/>
        <w:textAlignment w:val="baseline"/>
        <w:rPr>
          <w:rFonts w:hint="eastAsia" w:ascii="CESI仿宋-GB2312" w:hAnsi="CESI仿宋-GB2312" w:eastAsia="CESI仿宋-GB2312" w:cs="CESI仿宋-GB2312"/>
          <w:b w:val="0"/>
          <w:color w:val="auto"/>
          <w:spacing w:val="11"/>
          <w:sz w:val="32"/>
          <w:szCs w:val="32"/>
          <w:lang w:eastAsia="zh-CN"/>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中小学校、幼儿园周围持证零售户在许可证到期前搬</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迁至其他场所经</w:t>
      </w:r>
      <w:r>
        <w:rPr>
          <w:rFonts w:hint="eastAsia" w:ascii="CESI仿宋-GB2312" w:hAnsi="CESI仿宋-GB2312" w:eastAsia="CESI仿宋-GB2312" w:cs="CESI仿宋-GB2312"/>
          <w:b w:val="0"/>
          <w:color w:val="auto"/>
          <w:spacing w:val="6"/>
          <w:sz w:val="32"/>
          <w:szCs w:val="32"/>
        </w:rPr>
        <w:t>营,</w:t>
      </w:r>
      <w:r>
        <w:rPr>
          <w:rFonts w:hint="eastAsia" w:ascii="CESI仿宋-GB2312" w:hAnsi="CESI仿宋-GB2312" w:eastAsia="CESI仿宋-GB2312" w:cs="CESI仿宋-GB2312"/>
          <w:b w:val="0"/>
          <w:color w:val="auto"/>
          <w:spacing w:val="6"/>
          <w:sz w:val="32"/>
          <w:szCs w:val="32"/>
          <w:lang w:eastAsia="zh-CN"/>
        </w:rPr>
        <w:t>重新</w:t>
      </w:r>
      <w:r>
        <w:rPr>
          <w:rFonts w:hint="eastAsia" w:ascii="CESI仿宋-GB2312" w:hAnsi="CESI仿宋-GB2312" w:eastAsia="CESI仿宋-GB2312" w:cs="CESI仿宋-GB2312"/>
          <w:b w:val="0"/>
          <w:color w:val="auto"/>
          <w:spacing w:val="6"/>
          <w:sz w:val="32"/>
          <w:szCs w:val="32"/>
        </w:rPr>
        <w:t>申请变更烟草专卖零售</w:t>
      </w:r>
      <w:r>
        <w:rPr>
          <w:rFonts w:hint="eastAsia" w:ascii="CESI仿宋-GB2312" w:hAnsi="CESI仿宋-GB2312" w:eastAsia="CESI仿宋-GB2312" w:cs="CESI仿宋-GB2312"/>
          <w:b w:val="0"/>
          <w:color w:val="auto"/>
          <w:spacing w:val="12"/>
          <w:sz w:val="32"/>
          <w:szCs w:val="32"/>
        </w:rPr>
        <w:t>许可证的，</w:t>
      </w:r>
      <w:r>
        <w:rPr>
          <w:rFonts w:hint="eastAsia" w:ascii="CESI仿宋-GB2312" w:hAnsi="CESI仿宋-GB2312" w:eastAsia="CESI仿宋-GB2312" w:cs="CESI仿宋-GB2312"/>
          <w:b w:val="0"/>
          <w:color w:val="auto"/>
          <w:spacing w:val="11"/>
          <w:sz w:val="32"/>
          <w:szCs w:val="32"/>
        </w:rPr>
        <w:t>零售点间距</w:t>
      </w:r>
      <w:r>
        <w:rPr>
          <w:rFonts w:hint="eastAsia" w:ascii="CESI仿宋-GB2312" w:hAnsi="CESI仿宋-GB2312" w:eastAsia="CESI仿宋-GB2312" w:cs="CESI仿宋-GB2312"/>
          <w:b w:val="0"/>
          <w:color w:val="auto"/>
          <w:spacing w:val="11"/>
          <w:sz w:val="32"/>
          <w:szCs w:val="32"/>
          <w:lang w:val="en-US" w:eastAsia="zh-CN"/>
        </w:rPr>
        <w:t>按照不低于30米</w:t>
      </w:r>
      <w:r>
        <w:rPr>
          <w:rFonts w:hint="eastAsia" w:ascii="CESI仿宋-GB2312" w:hAnsi="CESI仿宋-GB2312" w:eastAsia="CESI仿宋-GB2312" w:cs="CESI仿宋-GB2312"/>
          <w:b w:val="0"/>
          <w:color w:val="auto"/>
          <w:spacing w:val="11"/>
          <w:sz w:val="32"/>
          <w:szCs w:val="32"/>
        </w:rPr>
        <w:t>设置</w:t>
      </w:r>
      <w:r>
        <w:rPr>
          <w:rFonts w:hint="eastAsia" w:ascii="CESI仿宋-GB2312" w:hAnsi="CESI仿宋-GB2312" w:eastAsia="CESI仿宋-GB2312" w:cs="CESI仿宋-GB2312"/>
          <w:b w:val="0"/>
          <w:color w:val="auto"/>
          <w:spacing w:val="11"/>
          <w:sz w:val="32"/>
          <w:szCs w:val="32"/>
          <w:lang w:eastAsia="zh-CN"/>
        </w:rPr>
        <w:t>；</w:t>
      </w:r>
    </w:p>
    <w:p w14:paraId="0DD97FD9">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16" w:firstLineChars="200"/>
        <w:jc w:val="left"/>
        <w:textAlignment w:val="baseline"/>
        <w:rPr>
          <w:rFonts w:hint="eastAsia" w:ascii="CESI仿宋-GB2312" w:hAnsi="CESI仿宋-GB2312" w:eastAsia="CESI仿宋-GB2312" w:cs="CESI仿宋-GB2312"/>
          <w:b w:val="0"/>
          <w:color w:val="auto"/>
          <w:spacing w:val="7"/>
          <w:sz w:val="32"/>
          <w:szCs w:val="32"/>
        </w:rPr>
      </w:pPr>
      <w:r>
        <w:rPr>
          <w:rFonts w:hint="eastAsia" w:ascii="CESI仿宋-GB2312" w:hAnsi="CESI仿宋-GB2312" w:eastAsia="CESI仿宋-GB2312" w:cs="CESI仿宋-GB2312"/>
          <w:b w:val="0"/>
          <w:color w:val="auto"/>
          <w:spacing w:val="-4"/>
          <w:sz w:val="32"/>
          <w:szCs w:val="32"/>
        </w:rPr>
        <w:t>（</w:t>
      </w:r>
      <w:r>
        <w:rPr>
          <w:rFonts w:hint="eastAsia" w:ascii="CESI仿宋-GB2312" w:hAnsi="CESI仿宋-GB2312" w:eastAsia="CESI仿宋-GB2312" w:cs="CESI仿宋-GB2312"/>
          <w:b w:val="0"/>
          <w:color w:val="auto"/>
          <w:spacing w:val="-4"/>
          <w:sz w:val="32"/>
          <w:szCs w:val="32"/>
          <w:lang w:val="en-US" w:eastAsia="zh-CN"/>
        </w:rPr>
        <w:t>二）</w:t>
      </w:r>
      <w:r>
        <w:rPr>
          <w:rFonts w:hint="eastAsia" w:ascii="CESI仿宋-GB2312" w:hAnsi="CESI仿宋-GB2312" w:eastAsia="CESI仿宋-GB2312" w:cs="CESI仿宋-GB2312"/>
          <w:b w:val="0"/>
          <w:color w:val="auto"/>
          <w:spacing w:val="-4"/>
          <w:sz w:val="32"/>
          <w:szCs w:val="32"/>
        </w:rPr>
        <w:t>中小学校、幼儿园周围持证零售户主动搬</w:t>
      </w:r>
      <w:r>
        <w:rPr>
          <w:rFonts w:hint="eastAsia" w:ascii="CESI仿宋-GB2312" w:hAnsi="CESI仿宋-GB2312" w:eastAsia="CESI仿宋-GB2312" w:cs="CESI仿宋-GB2312"/>
          <w:b w:val="0"/>
          <w:color w:val="auto"/>
          <w:spacing w:val="-5"/>
          <w:sz w:val="32"/>
          <w:szCs w:val="32"/>
        </w:rPr>
        <w:t>离中小学校、</w:t>
      </w:r>
      <w:r>
        <w:rPr>
          <w:rFonts w:hint="eastAsia" w:ascii="CESI仿宋-GB2312" w:hAnsi="CESI仿宋-GB2312" w:eastAsia="CESI仿宋-GB2312" w:cs="CESI仿宋-GB2312"/>
          <w:b w:val="0"/>
          <w:color w:val="auto"/>
          <w:spacing w:val="5"/>
          <w:sz w:val="32"/>
          <w:szCs w:val="32"/>
        </w:rPr>
        <w:t>幼儿园周围后</w:t>
      </w:r>
      <w:r>
        <w:rPr>
          <w:rFonts w:hint="eastAsia" w:ascii="CESI仿宋-GB2312" w:hAnsi="CESI仿宋-GB2312" w:eastAsia="CESI仿宋-GB2312" w:cs="CESI仿宋-GB2312"/>
          <w:b w:val="0"/>
          <w:color w:val="auto"/>
          <w:spacing w:val="5"/>
          <w:sz w:val="32"/>
          <w:szCs w:val="32"/>
          <w:lang w:eastAsia="zh-CN"/>
        </w:rPr>
        <w:t>一年内</w:t>
      </w:r>
      <w:r>
        <w:rPr>
          <w:rFonts w:hint="eastAsia" w:ascii="CESI仿宋-GB2312" w:hAnsi="CESI仿宋-GB2312" w:eastAsia="CESI仿宋-GB2312" w:cs="CESI仿宋-GB2312"/>
          <w:b w:val="0"/>
          <w:color w:val="auto"/>
          <w:spacing w:val="5"/>
          <w:sz w:val="32"/>
          <w:szCs w:val="32"/>
        </w:rPr>
        <w:t>，因</w:t>
      </w:r>
      <w:r>
        <w:rPr>
          <w:rFonts w:hint="eastAsia" w:ascii="CESI仿宋-GB2312" w:hAnsi="CESI仿宋-GB2312" w:eastAsia="CESI仿宋-GB2312" w:cs="CESI仿宋-GB2312"/>
          <w:b w:val="0"/>
          <w:color w:val="auto"/>
          <w:spacing w:val="5"/>
          <w:sz w:val="32"/>
          <w:szCs w:val="32"/>
          <w:lang w:eastAsia="zh-CN"/>
        </w:rPr>
        <w:t>中小学、幼儿园关停</w:t>
      </w:r>
      <w:r>
        <w:rPr>
          <w:rFonts w:hint="eastAsia" w:ascii="CESI仿宋-GB2312" w:hAnsi="CESI仿宋-GB2312" w:eastAsia="CESI仿宋-GB2312" w:cs="CESI仿宋-GB2312"/>
          <w:b w:val="0"/>
          <w:color w:val="auto"/>
          <w:spacing w:val="5"/>
          <w:sz w:val="32"/>
          <w:szCs w:val="32"/>
        </w:rPr>
        <w:t>等客观原因使原经营</w:t>
      </w:r>
      <w:r>
        <w:rPr>
          <w:rFonts w:hint="eastAsia" w:ascii="CESI仿宋-GB2312" w:hAnsi="CESI仿宋-GB2312" w:eastAsia="CESI仿宋-GB2312" w:cs="CESI仿宋-GB2312"/>
          <w:b w:val="0"/>
          <w:color w:val="auto"/>
          <w:spacing w:val="5"/>
          <w:sz w:val="32"/>
          <w:szCs w:val="32"/>
          <w:lang w:eastAsia="zh-CN"/>
        </w:rPr>
        <w:t>场所</w:t>
      </w:r>
      <w:r>
        <w:rPr>
          <w:rFonts w:hint="eastAsia" w:ascii="CESI仿宋-GB2312" w:hAnsi="CESI仿宋-GB2312" w:eastAsia="CESI仿宋-GB2312" w:cs="CESI仿宋-GB2312"/>
          <w:b w:val="0"/>
          <w:color w:val="auto"/>
          <w:spacing w:val="5"/>
          <w:sz w:val="32"/>
          <w:szCs w:val="32"/>
        </w:rPr>
        <w:t>不属于本规</w:t>
      </w:r>
      <w:r>
        <w:rPr>
          <w:rFonts w:hint="eastAsia" w:ascii="CESI仿宋-GB2312" w:hAnsi="CESI仿宋-GB2312" w:eastAsia="CESI仿宋-GB2312" w:cs="CESI仿宋-GB2312"/>
          <w:b w:val="0"/>
          <w:color w:val="auto"/>
          <w:spacing w:val="7"/>
          <w:sz w:val="32"/>
          <w:szCs w:val="32"/>
        </w:rPr>
        <w:t>定第</w:t>
      </w:r>
      <w:r>
        <w:rPr>
          <w:rFonts w:hint="eastAsia" w:ascii="CESI仿宋-GB2312" w:hAnsi="CESI仿宋-GB2312" w:eastAsia="CESI仿宋-GB2312" w:cs="CESI仿宋-GB2312"/>
          <w:b w:val="0"/>
          <w:color w:val="auto"/>
          <w:spacing w:val="7"/>
          <w:sz w:val="32"/>
          <w:szCs w:val="32"/>
          <w:lang w:eastAsia="zh-CN"/>
        </w:rPr>
        <w:t>十九</w:t>
      </w:r>
      <w:r>
        <w:rPr>
          <w:rFonts w:hint="eastAsia" w:ascii="CESI仿宋-GB2312" w:hAnsi="CESI仿宋-GB2312" w:eastAsia="CESI仿宋-GB2312" w:cs="CESI仿宋-GB2312"/>
          <w:b w:val="0"/>
          <w:color w:val="auto"/>
          <w:spacing w:val="7"/>
          <w:sz w:val="32"/>
          <w:szCs w:val="32"/>
        </w:rPr>
        <w:t>条</w:t>
      </w:r>
      <w:r>
        <w:rPr>
          <w:rFonts w:hint="eastAsia" w:ascii="CESI仿宋-GB2312" w:hAnsi="CESI仿宋-GB2312" w:eastAsia="CESI仿宋-GB2312" w:cs="CESI仿宋-GB2312"/>
          <w:b w:val="0"/>
          <w:color w:val="auto"/>
          <w:spacing w:val="7"/>
          <w:sz w:val="32"/>
          <w:szCs w:val="32"/>
          <w:lang w:eastAsia="zh-CN"/>
        </w:rPr>
        <w:t>第（三项）</w:t>
      </w:r>
      <w:r>
        <w:rPr>
          <w:rFonts w:hint="eastAsia" w:ascii="CESI仿宋-GB2312" w:hAnsi="CESI仿宋-GB2312" w:eastAsia="CESI仿宋-GB2312" w:cs="CESI仿宋-GB2312"/>
          <w:b w:val="0"/>
          <w:color w:val="auto"/>
          <w:spacing w:val="7"/>
          <w:sz w:val="32"/>
          <w:szCs w:val="32"/>
        </w:rPr>
        <w:t>限制范围，</w:t>
      </w:r>
      <w:r>
        <w:rPr>
          <w:rFonts w:hint="eastAsia" w:ascii="CESI仿宋-GB2312" w:hAnsi="CESI仿宋-GB2312" w:eastAsia="CESI仿宋-GB2312" w:cs="CESI仿宋-GB2312"/>
          <w:b w:val="0"/>
          <w:color w:val="auto"/>
          <w:spacing w:val="7"/>
          <w:sz w:val="32"/>
          <w:szCs w:val="32"/>
          <w:lang w:eastAsia="zh-CN"/>
        </w:rPr>
        <w:t>注销原烟草专卖零售许可证，在原址重新申领烟草专卖零售许可证的</w:t>
      </w:r>
      <w:r>
        <w:rPr>
          <w:rFonts w:hint="eastAsia" w:ascii="CESI仿宋-GB2312" w:hAnsi="CESI仿宋-GB2312" w:eastAsia="CESI仿宋-GB2312" w:cs="CESI仿宋-GB2312"/>
          <w:b w:val="0"/>
          <w:color w:val="auto"/>
          <w:spacing w:val="5"/>
          <w:sz w:val="32"/>
          <w:szCs w:val="32"/>
        </w:rPr>
        <w:t>，</w:t>
      </w:r>
      <w:r>
        <w:rPr>
          <w:rFonts w:hint="eastAsia" w:ascii="CESI仿宋-GB2312" w:hAnsi="CESI仿宋-GB2312" w:eastAsia="CESI仿宋-GB2312" w:cs="CESI仿宋-GB2312"/>
          <w:b w:val="0"/>
          <w:color w:val="auto"/>
          <w:spacing w:val="11"/>
          <w:sz w:val="32"/>
          <w:szCs w:val="32"/>
        </w:rPr>
        <w:t>零售点间距</w:t>
      </w:r>
      <w:r>
        <w:rPr>
          <w:rFonts w:hint="eastAsia" w:ascii="CESI仿宋-GB2312" w:hAnsi="CESI仿宋-GB2312" w:eastAsia="CESI仿宋-GB2312" w:cs="CESI仿宋-GB2312"/>
          <w:b w:val="0"/>
          <w:color w:val="auto"/>
          <w:spacing w:val="11"/>
          <w:sz w:val="32"/>
          <w:szCs w:val="32"/>
          <w:lang w:val="en-US" w:eastAsia="zh-CN"/>
        </w:rPr>
        <w:t>按照不低于30米</w:t>
      </w:r>
      <w:r>
        <w:rPr>
          <w:rFonts w:hint="eastAsia" w:ascii="CESI仿宋-GB2312" w:hAnsi="CESI仿宋-GB2312" w:eastAsia="CESI仿宋-GB2312" w:cs="CESI仿宋-GB2312"/>
          <w:b w:val="0"/>
          <w:color w:val="auto"/>
          <w:spacing w:val="11"/>
          <w:sz w:val="32"/>
          <w:szCs w:val="32"/>
        </w:rPr>
        <w:t>设置。</w:t>
      </w:r>
    </w:p>
    <w:p w14:paraId="52743D82">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auto"/>
          <w:spacing w:val="5"/>
          <w:sz w:val="32"/>
          <w:szCs w:val="32"/>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第十五条</w:t>
      </w:r>
      <w:r>
        <w:rPr>
          <w:rFonts w:hint="eastAsia" w:ascii="Times New Roman" w:hAnsi="Times New Roman" w:eastAsia="仿宋_GB2312" w:cs="仿宋_GB2312"/>
          <w:b w:val="0"/>
          <w:color w:val="FF0000"/>
          <w:spacing w:val="2"/>
          <w:sz w:val="32"/>
          <w:szCs w:val="32"/>
          <w:lang w:val="en-US" w:eastAsia="zh-CN"/>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主要经营</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业务为</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五金建材、建筑装潢、美容美发、按摩推拿、药妆医械、文化体育、音像制品、家电家具、通信器材、金融证券、仪器仪表、金银珠宝、修理修配、寄递配送、洗涤护理、服装制售、中介</w:t>
      </w:r>
      <w:bookmarkStart w:id="0" w:name="_GoBack"/>
      <w:bookmarkEnd w:id="0"/>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劳务</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、寄卖典当、汽车租赁、传真打印、机耕农具等专业性较强，与烟草零售不存在互补营销关系的其他业态类型与最近</w:t>
      </w:r>
      <w:r>
        <w:rPr>
          <w:rFonts w:hint="eastAsia" w:ascii="CESI仿宋-GB2312" w:hAnsi="CESI仿宋-GB2312" w:eastAsia="CESI仿宋-GB2312" w:cs="CESI仿宋-GB2312"/>
          <w:b w:val="0"/>
          <w:color w:val="auto"/>
          <w:spacing w:val="5"/>
          <w:sz w:val="32"/>
          <w:szCs w:val="32"/>
        </w:rPr>
        <w:t>零售点之间的间距</w:t>
      </w:r>
      <w:r>
        <w:rPr>
          <w:rFonts w:hint="eastAsia" w:ascii="CESI仿宋-GB2312" w:hAnsi="CESI仿宋-GB2312" w:eastAsia="CESI仿宋-GB2312" w:cs="CESI仿宋-GB2312"/>
          <w:b w:val="0"/>
          <w:color w:val="auto"/>
          <w:spacing w:val="5"/>
          <w:sz w:val="32"/>
          <w:szCs w:val="32"/>
          <w:lang w:eastAsia="zh-CN"/>
        </w:rPr>
        <w:t>不低于</w:t>
      </w:r>
      <w:r>
        <w:rPr>
          <w:rFonts w:hint="eastAsia" w:ascii="CESI仿宋-GB2312" w:hAnsi="CESI仿宋-GB2312" w:eastAsia="CESI仿宋-GB2312" w:cs="CESI仿宋-GB2312"/>
          <w:b w:val="0"/>
          <w:color w:val="auto"/>
          <w:spacing w:val="5"/>
          <w:sz w:val="32"/>
          <w:szCs w:val="32"/>
          <w:lang w:val="en-US" w:eastAsia="zh-CN"/>
        </w:rPr>
        <w:t>300米</w:t>
      </w:r>
      <w:r>
        <w:rPr>
          <w:rFonts w:hint="eastAsia" w:ascii="CESI仿宋-GB2312" w:hAnsi="CESI仿宋-GB2312" w:eastAsia="CESI仿宋-GB2312" w:cs="CESI仿宋-GB2312"/>
          <w:b w:val="0"/>
          <w:color w:val="auto"/>
          <w:spacing w:val="11"/>
          <w:sz w:val="32"/>
          <w:szCs w:val="32"/>
        </w:rPr>
        <w:t>。</w:t>
      </w:r>
    </w:p>
    <w:p w14:paraId="082AB258">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十六</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Times New Roman" w:hAnsi="Times New Roman" w:eastAsia="仿宋_GB2312" w:cs="仿宋_GB2312"/>
          <w:b w:val="0"/>
          <w:color w:val="000000" w:themeColor="text1"/>
          <w:spacing w:val="2"/>
          <w:sz w:val="32"/>
          <w:szCs w:val="32"/>
          <w14:textFill>
            <w14:solidFill>
              <w14:schemeClr w14:val="tx1"/>
            </w14:solidFill>
          </w14:textFill>
        </w:rPr>
        <w:t>申</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请办理烟草专卖零售许可证业务</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，以申请时的</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可新增零售点数量为准。受合理布局限制，两个申请人不能同时</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取得许可证的，以受理的先后顺序作出行政许可决定。</w:t>
      </w:r>
    </w:p>
    <w:p w14:paraId="79D04C09">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pPr>
      <w:r>
        <w:rPr>
          <w:rStyle w:val="14"/>
          <w:rFonts w:hint="eastAsia" w:ascii="楷体_GB2312" w:hAnsi="楷体_GB2312" w:eastAsia="楷体_GB2312" w:cs="楷体_GB2312"/>
          <w:b w:val="0"/>
          <w:bCs w:val="0"/>
          <w:strike w:val="0"/>
          <w:dstrike w:val="0"/>
          <w:color w:val="000000" w:themeColor="text1"/>
          <w:sz w:val="32"/>
          <w:u w:val="none"/>
          <w:shd w:val="clear" w:color="auto" w:fill="auto"/>
          <w:vertAlign w:val="baseline"/>
          <w:lang w:val="en-US" w:eastAsia="zh-CN"/>
          <w14:textFill>
            <w14:solidFill>
              <w14:schemeClr w14:val="tx1"/>
            </w14:solidFill>
          </w14:textFill>
        </w:rPr>
        <w:t xml:space="preserve">第十七条 </w:t>
      </w:r>
      <w:r>
        <w:rPr>
          <w:rStyle w:val="14"/>
          <w:rFonts w:hint="eastAsia" w:ascii="CESI仿宋-GB2312" w:hAnsi="CESI仿宋-GB2312" w:eastAsia="CESI仿宋-GB2312" w:cs="CESI仿宋-GB2312"/>
          <w:b w:val="0"/>
          <w:bCs w:val="0"/>
          <w:strike w:val="0"/>
          <w:dstrike w:val="0"/>
          <w:color w:val="000000" w:themeColor="text1"/>
          <w:sz w:val="32"/>
          <w:u w:val="none"/>
          <w:shd w:val="clear" w:color="auto" w:fill="auto"/>
          <w:vertAlign w:val="baseline"/>
          <w:lang w:val="en-US" w:eastAsia="zh-CN"/>
          <w14:textFill>
            <w14:solidFill>
              <w14:schemeClr w14:val="tx1"/>
            </w14:solidFill>
          </w14:textFill>
        </w:rPr>
        <w:t>在本合理布局规定颁布实施前，</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已合法持有烟草专卖零售许可证的零售户，在许可证有效期内不受所在地烟草制品零售点合理布局规划调整的影响。持证人办理延续申请，除</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因</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经营场所</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存在</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安全</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eastAsia="zh-CN"/>
          <w14:textFill>
            <w14:solidFill>
              <w14:schemeClr w14:val="tx1"/>
            </w14:solidFill>
          </w14:textFill>
        </w:rPr>
        <w:t>隐患</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和中小学、幼儿园周围的限制规定外，不受</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lang w:val="en-US" w:eastAsia="zh-CN"/>
          <w14:textFill>
            <w14:solidFill>
              <w14:schemeClr w14:val="tx1"/>
            </w14:solidFill>
          </w14:textFill>
        </w:rPr>
        <w:t>该</w:t>
      </w:r>
      <w:r>
        <w:rPr>
          <w:rFonts w:hint="eastAsia" w:ascii="CESI仿宋-GB2312" w:hAnsi="CESI仿宋-GB2312" w:eastAsia="CESI仿宋-GB2312" w:cs="CESI仿宋-GB2312"/>
          <w:b w:val="0"/>
          <w:bCs w:val="0"/>
          <w:strike w:val="0"/>
          <w:dstrike w:val="0"/>
          <w:color w:val="000000" w:themeColor="text1"/>
          <w:spacing w:val="2"/>
          <w:sz w:val="32"/>
          <w:szCs w:val="32"/>
          <w:u w:val="none"/>
          <w:shd w:val="clear" w:color="auto" w:fill="auto"/>
          <w:vertAlign w:val="baseline"/>
          <w14:textFill>
            <w14:solidFill>
              <w14:schemeClr w14:val="tx1"/>
            </w14:solidFill>
          </w14:textFill>
        </w:rPr>
        <w:t>烟草制品零售点合理布局规划其他规定调整的影响。</w:t>
      </w:r>
    </w:p>
    <w:p w14:paraId="563FBA18">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40" w:firstLineChars="200"/>
        <w:jc w:val="left"/>
        <w:textAlignment w:val="baseline"/>
        <w:rPr>
          <w:rFonts w:hint="eastAsia" w:ascii="Times New Roman" w:hAnsi="Times New Roman" w:eastAsia="仿宋_GB2312" w:cs="仿宋_GB2312"/>
          <w:b w:val="0"/>
          <w:color w:val="000000" w:themeColor="text1"/>
          <w:spacing w:val="2"/>
          <w:sz w:val="32"/>
          <w:szCs w:val="32"/>
          <w:lang w:val="en-US" w:eastAsia="zh-CN"/>
          <w14:textFill>
            <w14:solidFill>
              <w14:schemeClr w14:val="tx1"/>
            </w14:solidFill>
          </w14:textFill>
        </w:rPr>
      </w:pPr>
    </w:p>
    <w:p w14:paraId="54C47AFB">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60" w:firstLineChars="200"/>
        <w:jc w:val="center"/>
        <w:textAlignment w:val="baseline"/>
        <w:outlineLvl w:val="0"/>
        <w:rPr>
          <w:rFonts w:hint="eastAsia" w:ascii="黑体" w:hAnsi="黑体" w:eastAsia="黑体" w:cs="黑体"/>
          <w:b w:val="0"/>
          <w:color w:val="000000" w:themeColor="text1"/>
          <w:sz w:val="32"/>
          <w:szCs w:val="32"/>
          <w14:textFill>
            <w14:solidFill>
              <w14:schemeClr w14:val="tx1"/>
            </w14:solidFill>
          </w14:textFill>
        </w:rPr>
      </w:pPr>
      <w:r>
        <w:rPr>
          <w:rFonts w:hint="eastAsia" w:ascii="黑体" w:hAnsi="黑体" w:eastAsia="黑体" w:cs="黑体"/>
          <w:b w:val="0"/>
          <w:color w:val="000000" w:themeColor="text1"/>
          <w:spacing w:val="7"/>
          <w:position w:val="1"/>
          <w:sz w:val="32"/>
          <w:szCs w:val="32"/>
          <w14:textFill>
            <w14:solidFill>
              <w14:schemeClr w14:val="tx1"/>
            </w14:solidFill>
          </w14:textFill>
        </w:rPr>
        <w:t>第四章  禁止准入情形</w:t>
      </w:r>
    </w:p>
    <w:p w14:paraId="5F2186B3">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十八</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9"/>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具有下列情形之一的，不予</w:t>
      </w:r>
      <w:r>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t>发放烟草专卖零售许可证</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14:paraId="5967592A">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（一）申请人为未成年人、限制民事行为能力人及无民事行</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为能力人的；</w:t>
      </w:r>
    </w:p>
    <w:p w14:paraId="560A112A">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外商投资的商业企业或者个体工商户；</w:t>
      </w:r>
    </w:p>
    <w:p w14:paraId="621C24F6">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（三）未取得工商营业执照的；</w:t>
      </w:r>
    </w:p>
    <w:p w14:paraId="2398F100">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取消从事烟草专卖业务资格不满三年的；</w:t>
      </w:r>
    </w:p>
    <w:p w14:paraId="05ABE08B">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因申请人隐瞒有关情况或者提供虚假材</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料，烟草专卖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局作出不予受理或者不予发证决定后，申请人一年内再次提出申</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请的；</w:t>
      </w:r>
    </w:p>
    <w:p w14:paraId="07436C36">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因申请人以欺骗、贿赂等不正当手段取得的</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许可证被撤销后，</w:t>
      </w:r>
      <w:r>
        <w:rPr>
          <w:rFonts w:hint="eastAsia" w:ascii="CESI仿宋-GB2312" w:hAnsi="CESI仿宋-GB2312" w:eastAsia="CESI仿宋-GB2312" w:cs="CESI仿宋-GB2312"/>
          <w:b w:val="0"/>
          <w:color w:val="000000" w:themeColor="text1"/>
          <w:spacing w:val="-8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申请人三年内再次提出申请的；</w:t>
      </w:r>
    </w:p>
    <w:p w14:paraId="4FAD7917">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）未领取烟草专卖零售许可证经营烟草专卖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品业务，且一年内被执法机关处罚两次以上，在三年内申请</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烟草专卖零售许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14:paraId="2D5C35BB">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pacing w:val="7"/>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）未领取烟草专卖零售许可证经营烟草专卖品业务被追</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究刑事责任，在三年内申请领取烟草专卖零售许可</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证的</w:t>
      </w:r>
      <w:r>
        <w:rPr>
          <w:rFonts w:hint="eastAsia" w:ascii="CESI仿宋-GB2312" w:hAnsi="CESI仿宋-GB2312" w:eastAsia="CESI仿宋-GB2312" w:cs="CESI仿宋-GB2312"/>
          <w:b w:val="0"/>
          <w:color w:val="000000" w:themeColor="text1"/>
          <w:spacing w:val="7"/>
          <w:sz w:val="32"/>
          <w:szCs w:val="32"/>
          <w:lang w:eastAsia="zh-CN"/>
          <w14:textFill>
            <w14:solidFill>
              <w14:schemeClr w14:val="tx1"/>
            </w14:solidFill>
          </w14:textFill>
        </w:rPr>
        <w:t>。</w:t>
      </w:r>
    </w:p>
    <w:p w14:paraId="46B7A99B">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十九</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8"/>
          <w:position w:val="1"/>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具有下列情形之一的，不予设置零售点：</w:t>
      </w:r>
    </w:p>
    <w:p w14:paraId="75902364">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）无固定经营场所或经营场所与住所不相独立的；</w:t>
      </w:r>
    </w:p>
    <w:p w14:paraId="179CB15D">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）无与经营烟草制品零售业务相适应的资金的；</w:t>
      </w:r>
    </w:p>
    <w:p w14:paraId="1DC082A4">
      <w:pPr>
        <w:keepNext w:val="0"/>
        <w:keepLines w:val="0"/>
        <w:pageBreakBefore w:val="0"/>
        <w:widowControl w:val="0"/>
        <w:tabs>
          <w:tab w:val="right" w:pos="8215"/>
        </w:tabs>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）中小学校、幼儿园</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内部及进出口通道向外延伸可行走距离限制米数低于50米以内的经营场所；</w:t>
      </w:r>
    </w:p>
    <w:p w14:paraId="7368EDE9">
      <w:pPr>
        <w:keepNext w:val="0"/>
        <w:keepLines w:val="0"/>
        <w:pageBreakBefore w:val="0"/>
        <w:widowControl w:val="0"/>
        <w:kinsoku/>
        <w:wordWrap/>
        <w:overflowPunct/>
        <w:topLinePunct w:val="0"/>
        <w:bidi w:val="0"/>
        <w:adjustRightInd/>
        <w:snapToGrid/>
        <w:spacing w:after="118" w:afterLines="20" w:line="560" w:lineRule="exact"/>
        <w:ind w:left="0" w:leftChars="0" w:right="0" w:firstLine="640" w:firstLineChars="200"/>
        <w:jc w:val="left"/>
        <w:textAlignment w:val="baseline"/>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）利用自动售货机或者其他自动售货形式</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，销售或者变</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相销售烟草制品的；</w:t>
      </w:r>
    </w:p>
    <w:p w14:paraId="3B822031">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医疗卫生机构所属区域内；</w:t>
      </w:r>
    </w:p>
    <w:p w14:paraId="663B705A">
      <w:pPr>
        <w:keepNext w:val="0"/>
        <w:keepLines w:val="0"/>
        <w:pageBreakBefore w:val="0"/>
        <w:widowControl w:val="0"/>
        <w:kinsoku/>
        <w:wordWrap/>
        <w:overflowPunct/>
        <w:topLinePunct w:val="0"/>
        <w:bidi w:val="0"/>
        <w:adjustRightInd/>
        <w:snapToGrid/>
        <w:spacing w:after="118" w:afterLines="20" w:line="560" w:lineRule="exact"/>
        <w:ind w:left="0" w:leftChars="0" w:right="0" w:firstLine="656" w:firstLineChars="200"/>
        <w:jc w:val="left"/>
        <w:textAlignment w:val="baseline"/>
        <w:rPr>
          <w:rFonts w:hint="eastAsia" w:ascii="CESI仿宋-GB2312" w:hAnsi="CESI仿宋-GB2312" w:eastAsia="CESI仿宋-GB2312" w:cs="CESI仿宋-GB2312"/>
          <w:b w:val="0"/>
          <w:color w:val="000000" w:themeColor="text1"/>
          <w:spacing w:val="-7"/>
          <w:position w:val="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7"/>
          <w:position w:val="1"/>
          <w:sz w:val="32"/>
          <w:szCs w:val="32"/>
          <w14:textFill>
            <w14:solidFill>
              <w14:schemeClr w14:val="tx1"/>
            </w14:solidFill>
          </w14:textFill>
        </w:rPr>
        <w:t>党政机关内部；</w:t>
      </w:r>
    </w:p>
    <w:p w14:paraId="3AE8ED35">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（七）未经城市规划部门批准而构建的违规建筑场所，已被政府纳入拆迁规划且政府明令禁止办理烟草专卖零售许可证的区</w:t>
      </w:r>
      <w:r>
        <w:rPr>
          <w:rFonts w:hint="eastAsia" w:ascii="CESI仿宋-GB2312" w:hAnsi="CESI仿宋-GB2312" w:eastAsia="CESI仿宋-GB2312" w:cs="CESI仿宋-GB2312"/>
          <w:b w:val="0"/>
          <w:color w:val="auto"/>
          <w:spacing w:val="3"/>
          <w:sz w:val="32"/>
          <w:szCs w:val="32"/>
          <w:lang w:val="en-US" w:eastAsia="zh-CN"/>
        </w:rPr>
        <w:t>域</w:t>
      </w:r>
      <w:r>
        <w:rPr>
          <w:rFonts w:hint="eastAsia" w:ascii="CESI仿宋-GB2312" w:hAnsi="CESI仿宋-GB2312" w:eastAsia="CESI仿宋-GB2312" w:cs="CESI仿宋-GB2312"/>
          <w:b w:val="0"/>
          <w:color w:val="FF0000"/>
          <w:spacing w:val="3"/>
          <w:sz w:val="32"/>
          <w:szCs w:val="32"/>
          <w:lang w:val="en-US" w:eastAsia="zh-CN"/>
        </w:rPr>
        <w:t>；</w:t>
      </w:r>
    </w:p>
    <w:p w14:paraId="7FE5D5DC">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）经营场所已经办理了仍在有效期内的烟草专卖零售许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14:paraId="4F55D9FA">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lang w:val="en-US" w:eastAsia="zh-CN"/>
          <w14:textFill>
            <w14:solidFill>
              <w14:schemeClr w14:val="tx1"/>
            </w14:solidFill>
          </w14:textFill>
        </w:rPr>
        <w:t>九）</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存在安全隐患，且不具备安全保障措施，未取得相关</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审批手续生产、经营、储存有毒有害、易燃易爆易挥发类物质，</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不符合食品安全标准，容易造成烟草制品污染，不适宜经营烟草制品的场所，如经营燃气、散装汽柴油、化工、油漆、农药、化</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肥等；</w:t>
      </w:r>
    </w:p>
    <w:p w14:paraId="563D9267">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0" w:leftChars="0" w:right="0" w:rightChars="0" w:firstLine="624" w:firstLineChars="200"/>
        <w:jc w:val="left"/>
        <w:textAlignment w:val="baseline"/>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十</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容易诱导未成年人关注、购买、吸食</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卷烟的经营场所，</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包括但不限于母婴用品店、文具店、玩具店、游乐场所、托幼机构、儿童社会福利机构、青少年活动中心、青少年教育培训机构</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等；</w:t>
      </w:r>
    </w:p>
    <w:p w14:paraId="5E74BB10">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（十一）居民住宅楼、公寓楼内部。居民住宅一层房屋进出口通道直接面向市政规划道路的，小区内居民住宅一层房屋产权改为商业性质且进出口通道直接面向市政规划道路或者内部同行道路的除外；</w:t>
      </w:r>
    </w:p>
    <w:p w14:paraId="0486F9D5">
      <w:pPr>
        <w:keepNext w:val="0"/>
        <w:keepLines w:val="0"/>
        <w:pageBreakBefore w:val="0"/>
        <w:widowControl w:val="0"/>
        <w:kinsoku/>
        <w:wordWrap/>
        <w:overflowPunct/>
        <w:topLinePunct w:val="0"/>
        <w:autoSpaceDE/>
        <w:autoSpaceDN/>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十二</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不符合所属行业行政主管部门关于卷烟经营相关规定的</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14:paraId="117D6BA6">
      <w:pPr>
        <w:keepNext w:val="0"/>
        <w:keepLines w:val="0"/>
        <w:pageBreakBefore w:val="0"/>
        <w:widowControl w:val="0"/>
        <w:kinsoku/>
        <w:wordWrap/>
        <w:overflowPunct/>
        <w:topLinePunct w:val="0"/>
        <w:bidi w:val="0"/>
        <w:adjustRightInd/>
        <w:snapToGrid/>
        <w:spacing w:beforeAutospacing="0" w:after="118" w:afterLines="20" w:afterAutospacing="0" w:line="560" w:lineRule="exact"/>
        <w:ind w:left="0" w:leftChars="0" w:right="0" w:firstLine="632" w:firstLineChars="200"/>
        <w:jc w:val="left"/>
        <w:textAlignment w:val="baseline"/>
        <w:rPr>
          <w:rFonts w:hint="eastAsia" w:ascii="CESI仿宋-GB2312" w:hAnsi="CESI仿宋-GB2312" w:eastAsia="CESI仿宋-GB2312" w:cs="CESI仿宋-GB2312"/>
          <w:b w:val="0"/>
          <w:strike/>
          <w:dstrike w:val="0"/>
          <w:color w:val="000000" w:themeColor="text1"/>
          <w:sz w:val="32"/>
          <w:szCs w:val="32"/>
          <w:lang w:eastAsia="zh-CN"/>
          <w14:textFill>
            <w14:solidFill>
              <w14:schemeClr w14:val="tx1"/>
            </w14:solidFill>
          </w14:textFill>
        </w:rPr>
      </w:pP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lang w:val="en-US" w:eastAsia="zh-CN"/>
          <w14:textFill>
            <w14:solidFill>
              <w14:schemeClr w14:val="tx1"/>
            </w14:solidFill>
          </w14:textFill>
        </w:rPr>
        <w:t>十三</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法律、法规、规章和国家烟草专卖局规定的其他不予发证的情形，以及烟草专卖局依照</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政府相关要求</w:t>
      </w:r>
      <w:r>
        <w:rPr>
          <w:rFonts w:hint="eastAsia" w:ascii="CESI仿宋-GB2312" w:hAnsi="CESI仿宋-GB2312" w:eastAsia="CESI仿宋-GB2312" w:cs="CESI仿宋-GB2312"/>
          <w:b w:val="0"/>
          <w:color w:val="000000" w:themeColor="text1"/>
          <w:sz w:val="32"/>
          <w:szCs w:val="32"/>
          <w:highlight w:val="none"/>
          <w14:textFill>
            <w14:solidFill>
              <w14:schemeClr w14:val="tx1"/>
            </w14:solidFill>
          </w14:textFill>
        </w:rPr>
        <w:t>不能设定零售点的其他情形</w:t>
      </w:r>
      <w:r>
        <w:rPr>
          <w:rFonts w:hint="eastAsia" w:ascii="CESI仿宋-GB2312" w:hAnsi="CESI仿宋-GB2312" w:eastAsia="CESI仿宋-GB2312" w:cs="CESI仿宋-GB2312"/>
          <w:b w:val="0"/>
          <w:color w:val="000000" w:themeColor="text1"/>
          <w:sz w:val="32"/>
          <w:szCs w:val="32"/>
          <w:highlight w:val="none"/>
          <w:lang w:eastAsia="zh-CN"/>
          <w14:textFill>
            <w14:solidFill>
              <w14:schemeClr w14:val="tx1"/>
            </w14:solidFill>
          </w14:textFill>
        </w:rPr>
        <w:t>。</w:t>
      </w:r>
    </w:p>
    <w:p w14:paraId="19E1202C">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有下列情形之一的，烟草专卖零售许可证有效</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期届满后不予延续:</w:t>
      </w:r>
    </w:p>
    <w:p w14:paraId="5261538D">
      <w:pPr>
        <w:keepNext w:val="0"/>
        <w:keepLines w:val="0"/>
        <w:pageBreakBefore w:val="0"/>
        <w:widowControl w:val="0"/>
        <w:numPr>
          <w:ilvl w:val="0"/>
          <w:numId w:val="0"/>
        </w:numPr>
        <w:kinsoku/>
        <w:wordWrap/>
        <w:overflowPunct/>
        <w:topLinePunct w:val="0"/>
        <w:bidi w:val="0"/>
        <w:adjustRightInd/>
        <w:snapToGrid/>
        <w:spacing w:after="118" w:afterLines="20" w:line="560" w:lineRule="exact"/>
        <w:ind w:leftChars="0" w:right="0" w:rightChars="0" w:firstLine="640"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lang w:val="en-US" w:eastAsia="zh-CN"/>
          <w14:textFill>
            <w14:solidFill>
              <w14:schemeClr w14:val="tx1"/>
            </w14:solidFill>
          </w14:textFill>
        </w:rPr>
        <w:t>一</w:t>
      </w: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14:textFill>
            <w14:solidFill>
              <w14:schemeClr w14:val="tx1"/>
            </w14:solidFill>
          </w14:textFill>
        </w:rPr>
        <w:t>经营场所基于安全因素不适宜经营卷烟的;</w:t>
      </w:r>
    </w:p>
    <w:p w14:paraId="1ED869CD">
      <w:pPr>
        <w:keepNext w:val="0"/>
        <w:keepLines w:val="0"/>
        <w:pageBreakBefore w:val="0"/>
        <w:widowControl w:val="0"/>
        <w:kinsoku/>
        <w:wordWrap/>
        <w:overflowPunct/>
        <w:topLinePunct w:val="0"/>
        <w:bidi w:val="0"/>
        <w:adjustRightInd/>
        <w:snapToGrid/>
        <w:spacing w:after="118" w:afterLines="20" w:line="560" w:lineRule="exact"/>
        <w:ind w:left="0" w:leftChars="0" w:right="0" w:firstLine="60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lang w:val="en-US" w:eastAsia="zh-CN"/>
          <w14:textFill>
            <w14:solidFill>
              <w14:schemeClr w14:val="tx1"/>
            </w14:solidFill>
          </w14:textFill>
        </w:rPr>
        <w:t>二</w:t>
      </w:r>
      <w:r>
        <w:rPr>
          <w:rFonts w:hint="eastAsia" w:ascii="CESI仿宋-GB2312" w:hAnsi="CESI仿宋-GB2312" w:eastAsia="CESI仿宋-GB2312" w:cs="CESI仿宋-GB2312"/>
          <w:b w:val="0"/>
          <w:color w:val="000000" w:themeColor="text1"/>
          <w:spacing w:val="-6"/>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6"/>
          <w:sz w:val="32"/>
          <w:szCs w:val="32"/>
          <w14:textFill>
            <w14:solidFill>
              <w14:schemeClr w14:val="tx1"/>
            </w14:solidFill>
          </w14:textFill>
        </w:rPr>
        <w:t>中小学校、幼儿园周围;</w:t>
      </w:r>
    </w:p>
    <w:p w14:paraId="2EC4632E">
      <w:pPr>
        <w:keepNext w:val="0"/>
        <w:keepLines w:val="0"/>
        <w:pageBreakBefore w:val="0"/>
        <w:widowControl w:val="0"/>
        <w:kinsoku/>
        <w:wordWrap/>
        <w:overflowPunct/>
        <w:topLinePunct w:val="0"/>
        <w:bidi w:val="0"/>
        <w:adjustRightInd/>
        <w:snapToGrid/>
        <w:spacing w:after="118" w:afterLines="20" w:line="560" w:lineRule="exact"/>
        <w:ind w:left="0" w:leftChars="0" w:right="0" w:firstLine="62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lang w:val="en-US" w:eastAsia="zh-CN"/>
          <w14:textFill>
            <w14:solidFill>
              <w14:schemeClr w14:val="tx1"/>
            </w14:solidFill>
          </w14:textFill>
        </w:rPr>
        <w:t>三</w:t>
      </w:r>
      <w:r>
        <w:rPr>
          <w:rFonts w:hint="eastAsia" w:ascii="CESI仿宋-GB2312" w:hAnsi="CESI仿宋-GB2312" w:eastAsia="CESI仿宋-GB2312" w:cs="CESI仿宋-GB2312"/>
          <w:b w:val="0"/>
          <w:color w:val="000000" w:themeColor="text1"/>
          <w:spacing w:val="-2"/>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position w:val="1"/>
          <w:sz w:val="32"/>
          <w:szCs w:val="32"/>
          <w14:textFill>
            <w14:solidFill>
              <w14:schemeClr w14:val="tx1"/>
            </w14:solidFill>
          </w14:textFill>
        </w:rPr>
        <w:t>经营主体发生变化的;</w:t>
      </w:r>
    </w:p>
    <w:p w14:paraId="45163D4C">
      <w:pPr>
        <w:keepNext w:val="0"/>
        <w:keepLines w:val="0"/>
        <w:pageBreakBefore w:val="0"/>
        <w:widowControl w:val="0"/>
        <w:kinsoku/>
        <w:wordWrap/>
        <w:overflowPunct/>
        <w:topLinePunct w:val="0"/>
        <w:bidi w:val="0"/>
        <w:adjustRightInd/>
        <w:snapToGrid/>
        <w:spacing w:after="118" w:afterLines="20" w:line="560" w:lineRule="exact"/>
        <w:ind w:left="0" w:leftChars="0" w:right="0" w:firstLine="62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1"/>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position w:val="1"/>
          <w:sz w:val="32"/>
          <w:szCs w:val="32"/>
          <w:lang w:val="en-US" w:eastAsia="zh-CN"/>
          <w14:textFill>
            <w14:solidFill>
              <w14:schemeClr w14:val="tx1"/>
            </w14:solidFill>
          </w14:textFill>
        </w:rPr>
        <w:t>四</w:t>
      </w:r>
      <w:r>
        <w:rPr>
          <w:rFonts w:hint="eastAsia" w:ascii="CESI仿宋-GB2312" w:hAnsi="CESI仿宋-GB2312" w:eastAsia="CESI仿宋-GB2312" w:cs="CESI仿宋-GB2312"/>
          <w:b w:val="0"/>
          <w:color w:val="000000" w:themeColor="text1"/>
          <w:spacing w:val="-1"/>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position w:val="1"/>
          <w:sz w:val="32"/>
          <w:szCs w:val="32"/>
          <w14:textFill>
            <w14:solidFill>
              <w14:schemeClr w14:val="tx1"/>
            </w14:solidFill>
          </w14:textFill>
        </w:rPr>
        <w:t>不再具备固定经营场所的;</w:t>
      </w:r>
    </w:p>
    <w:p w14:paraId="7339D722">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lang w:val="en-US" w:eastAsia="zh-CN"/>
          <w14:textFill>
            <w14:solidFill>
              <w14:schemeClr w14:val="tx1"/>
            </w14:solidFill>
          </w14:textFill>
        </w:rPr>
        <w:t>五</w:t>
      </w:r>
      <w:r>
        <w:rPr>
          <w:rFonts w:hint="eastAsia" w:ascii="CESI仿宋-GB2312" w:hAnsi="CESI仿宋-GB2312" w:eastAsia="CESI仿宋-GB2312" w:cs="CESI仿宋-GB2312"/>
          <w:b w:val="0"/>
          <w:color w:val="000000" w:themeColor="text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z w:val="32"/>
          <w:szCs w:val="32"/>
          <w14:textFill>
            <w14:solidFill>
              <w14:schemeClr w14:val="tx1"/>
            </w14:solidFill>
          </w14:textFill>
        </w:rPr>
        <w:t>经营场所不再与住所相独立的;</w:t>
      </w:r>
    </w:p>
    <w:p w14:paraId="541BEEC9">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六</w:t>
      </w: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经营场所条件发生变化导致其既不符合取得许可时也</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不符合申请延续时的烟草制品零售点合理布局规定要的;</w:t>
      </w:r>
    </w:p>
    <w:p w14:paraId="08F847C5">
      <w:pPr>
        <w:keepNext w:val="0"/>
        <w:keepLines w:val="0"/>
        <w:pageBreakBefore w:val="0"/>
        <w:widowControl w:val="0"/>
        <w:kinsoku/>
        <w:wordWrap/>
        <w:overflowPunct/>
        <w:topLinePunct w:val="0"/>
        <w:bidi w:val="0"/>
        <w:adjustRightInd/>
        <w:snapToGrid/>
        <w:spacing w:after="118" w:afterLines="20" w:line="560" w:lineRule="exact"/>
        <w:ind w:left="0" w:leftChars="0" w:right="0" w:firstLine="65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lang w:val="en-US" w:eastAsia="zh-CN"/>
          <w14:textFill>
            <w14:solidFill>
              <w14:schemeClr w14:val="tx1"/>
            </w14:solidFill>
          </w14:textFill>
        </w:rPr>
        <w:t>七</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非法生产经营烟草专卖品数额在5</w:t>
      </w:r>
      <w:r>
        <w:rPr>
          <w:rFonts w:hint="eastAsia" w:ascii="CESI仿宋-GB2312" w:hAnsi="CESI仿宋-GB2312" w:eastAsia="CESI仿宋-GB2312" w:cs="CESI仿宋-GB2312"/>
          <w:b w:val="0"/>
          <w:color w:val="000000" w:themeColor="text1"/>
          <w:spacing w:val="-23"/>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万元以上</w:t>
      </w:r>
      <w:r>
        <w:rPr>
          <w:rFonts w:hint="eastAsia" w:ascii="CESI仿宋-GB2312" w:hAnsi="CESI仿宋-GB2312" w:eastAsia="CESI仿宋-GB2312" w:cs="CESI仿宋-GB2312"/>
          <w:b w:val="0"/>
          <w:color w:val="000000" w:themeColor="text1"/>
          <w:spacing w:val="5"/>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违法所</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得数额在2</w:t>
      </w:r>
      <w:r>
        <w:rPr>
          <w:rFonts w:hint="eastAsia" w:ascii="CESI仿宋-GB2312" w:hAnsi="CESI仿宋-GB2312" w:eastAsia="CESI仿宋-GB2312" w:cs="CESI仿宋-GB2312"/>
          <w:b w:val="0"/>
          <w:color w:val="000000" w:themeColor="text1"/>
          <w:spacing w:val="-43"/>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万元以上或非法经营卷烟20</w:t>
      </w:r>
      <w:r>
        <w:rPr>
          <w:rFonts w:hint="eastAsia" w:ascii="CESI仿宋-GB2312" w:hAnsi="CESI仿宋-GB2312" w:eastAsia="CESI仿宋-GB2312" w:cs="CESI仿宋-GB2312"/>
          <w:b w:val="0"/>
          <w:color w:val="000000" w:themeColor="text1"/>
          <w:spacing w:val="-4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万支</w:t>
      </w:r>
      <w:r>
        <w:rPr>
          <w:rFonts w:hint="eastAsia" w:ascii="CESI仿宋-GB2312" w:hAnsi="CESI仿宋-GB2312" w:eastAsia="CESI仿宋-GB2312" w:cs="CESI仿宋-GB2312"/>
          <w:b w:val="0"/>
          <w:color w:val="000000" w:themeColor="text1"/>
          <w:spacing w:val="11"/>
          <w:sz w:val="32"/>
          <w:szCs w:val="32"/>
          <w14:textFill>
            <w14:solidFill>
              <w14:schemeClr w14:val="tx1"/>
            </w14:solidFill>
          </w14:textFill>
        </w:rPr>
        <w:t>以上，未被追究</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刑事责任的;</w:t>
      </w:r>
    </w:p>
    <w:p w14:paraId="1C79A467">
      <w:pPr>
        <w:keepNext w:val="0"/>
        <w:keepLines w:val="0"/>
        <w:pageBreakBefore w:val="0"/>
        <w:widowControl w:val="0"/>
        <w:kinsoku/>
        <w:wordWrap/>
        <w:overflowPunct/>
        <w:topLinePunct w:val="0"/>
        <w:bidi w:val="0"/>
        <w:adjustRightInd/>
        <w:snapToGrid/>
        <w:spacing w:after="118" w:afterLines="20" w:line="560" w:lineRule="exact"/>
        <w:ind w:left="0" w:leftChars="0" w:right="0" w:firstLine="64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3"/>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position w:val="1"/>
          <w:sz w:val="32"/>
          <w:szCs w:val="32"/>
          <w:lang w:val="en-US" w:eastAsia="zh-CN"/>
          <w14:textFill>
            <w14:solidFill>
              <w14:schemeClr w14:val="tx1"/>
            </w14:solidFill>
          </w14:textFill>
        </w:rPr>
        <w:t>八</w:t>
      </w:r>
      <w:r>
        <w:rPr>
          <w:rFonts w:hint="eastAsia" w:ascii="CESI仿宋-GB2312" w:hAnsi="CESI仿宋-GB2312" w:eastAsia="CESI仿宋-GB2312" w:cs="CESI仿宋-GB2312"/>
          <w:b w:val="0"/>
          <w:color w:val="000000" w:themeColor="text1"/>
          <w:spacing w:val="3"/>
          <w:position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position w:val="1"/>
          <w:sz w:val="32"/>
          <w:szCs w:val="32"/>
          <w14:textFill>
            <w14:solidFill>
              <w14:schemeClr w14:val="tx1"/>
            </w14:solidFill>
          </w14:textFill>
        </w:rPr>
        <w:t>因非法生产经营烟草专卖品被追究刑事责任的;</w:t>
      </w:r>
    </w:p>
    <w:p w14:paraId="721B3A82">
      <w:pPr>
        <w:keepNext w:val="0"/>
        <w:keepLines w:val="0"/>
        <w:pageBreakBefore w:val="0"/>
        <w:widowControl w:val="0"/>
        <w:kinsoku/>
        <w:wordWrap/>
        <w:overflowPunct/>
        <w:topLinePunct w:val="0"/>
        <w:bidi w:val="0"/>
        <w:adjustRightInd/>
        <w:snapToGrid/>
        <w:spacing w:after="118" w:afterLines="20" w:line="560" w:lineRule="exact"/>
        <w:ind w:left="0" w:leftChars="0" w:right="0" w:firstLine="648"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九</w:t>
      </w:r>
      <w:r>
        <w:rPr>
          <w:rFonts w:hint="eastAsia" w:ascii="CESI仿宋-GB2312" w:hAnsi="CESI仿宋-GB2312" w:eastAsia="CESI仿宋-GB2312" w:cs="CESI仿宋-GB2312"/>
          <w:b w:val="0"/>
          <w:color w:val="000000" w:themeColor="text1"/>
          <w:spacing w:val="4"/>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买卖、出租、出借或者以其他形式非法转让烟草专卖许</w:t>
      </w:r>
      <w:r>
        <w:rPr>
          <w:rFonts w:hint="eastAsia" w:ascii="CESI仿宋-GB2312" w:hAnsi="CESI仿宋-GB2312" w:eastAsia="CESI仿宋-GB2312" w:cs="CESI仿宋-GB2312"/>
          <w:b w:val="0"/>
          <w:color w:val="000000" w:themeColor="text1"/>
          <w:sz w:val="32"/>
          <w:szCs w:val="32"/>
          <w14:textFill>
            <w14:solidFill>
              <w14:schemeClr w14:val="tx1"/>
            </w14:solidFill>
          </w14:textFill>
        </w:rPr>
        <w:t>可证的;</w:t>
      </w:r>
    </w:p>
    <w:p w14:paraId="39C1AD8E">
      <w:pPr>
        <w:keepNext w:val="0"/>
        <w:keepLines w:val="0"/>
        <w:pageBreakBefore w:val="0"/>
        <w:widowControl w:val="0"/>
        <w:kinsoku/>
        <w:wordWrap/>
        <w:overflowPunct/>
        <w:topLinePunct w:val="0"/>
        <w:bidi w:val="0"/>
        <w:adjustRightInd/>
        <w:snapToGrid/>
        <w:spacing w:after="118" w:afterLines="20" w:line="560" w:lineRule="exact"/>
        <w:ind w:left="0" w:leftChars="0" w:right="0" w:firstLine="636"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十</w:t>
      </w:r>
      <w:r>
        <w:rPr>
          <w:rFonts w:hint="eastAsia" w:ascii="CESI仿宋-GB2312" w:hAnsi="CESI仿宋-GB2312" w:eastAsia="CESI仿宋-GB2312" w:cs="CESI仿宋-GB2312"/>
          <w:b w:val="0"/>
          <w:color w:val="000000" w:themeColor="text1"/>
          <w:spacing w:val="1"/>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被市场监管部门吊销营业执照的;</w:t>
      </w:r>
    </w:p>
    <w:p w14:paraId="34BEFF9D">
      <w:pPr>
        <w:keepNext w:val="0"/>
        <w:keepLines w:val="0"/>
        <w:pageBreakBefore w:val="0"/>
        <w:widowControl w:val="0"/>
        <w:kinsoku/>
        <w:wordWrap/>
        <w:overflowPunct/>
        <w:topLinePunct w:val="0"/>
        <w:bidi w:val="0"/>
        <w:adjustRightInd/>
        <w:snapToGrid/>
        <w:spacing w:after="118" w:afterLines="20" w:line="560" w:lineRule="exact"/>
        <w:ind w:left="0" w:leftChars="0" w:right="0" w:firstLine="624" w:firstLineChars="200"/>
        <w:jc w:val="left"/>
        <w:textAlignment w:val="baseline"/>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2"/>
          <w:sz w:val="32"/>
          <w:szCs w:val="32"/>
          <w:lang w:val="en-US" w:eastAsia="zh-CN"/>
          <w14:textFill>
            <w14:solidFill>
              <w14:schemeClr w14:val="tx1"/>
            </w14:solidFill>
          </w14:textFill>
        </w:rPr>
        <w:t>十一</w:t>
      </w:r>
      <w:r>
        <w:rPr>
          <w:rFonts w:hint="eastAsia" w:ascii="CESI仿宋-GB2312" w:hAnsi="CESI仿宋-GB2312" w:eastAsia="CESI仿宋-GB2312" w:cs="CESI仿宋-GB2312"/>
          <w:b w:val="0"/>
          <w:color w:val="000000" w:themeColor="text1"/>
          <w:spacing w:val="-2"/>
          <w:sz w:val="32"/>
          <w:szCs w:val="32"/>
          <w:lang w:eastAsia="zh-CN"/>
          <w14:textFill>
            <w14:solidFill>
              <w14:schemeClr w14:val="tx1"/>
            </w14:solidFill>
          </w14:textFill>
        </w:rPr>
        <w:t>）存在</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其他严重违法行为的。</w:t>
      </w:r>
    </w:p>
    <w:p w14:paraId="1A2E76A6">
      <w:pPr>
        <w:keepNext w:val="0"/>
        <w:keepLines w:val="0"/>
        <w:pageBreakBefore w:val="0"/>
        <w:widowControl w:val="0"/>
        <w:kinsoku/>
        <w:wordWrap/>
        <w:overflowPunct/>
        <w:topLinePunct w:val="0"/>
        <w:autoSpaceDE w:val="0"/>
        <w:autoSpaceDN w:val="0"/>
        <w:bidi w:val="0"/>
        <w:adjustRightInd/>
        <w:snapToGrid/>
        <w:spacing w:after="118" w:afterLines="20" w:line="380" w:lineRule="exact"/>
        <w:ind w:left="0" w:leftChars="0" w:right="0" w:firstLine="624" w:firstLineChars="200"/>
        <w:jc w:val="left"/>
        <w:textAlignment w:val="baseline"/>
        <w:rPr>
          <w:rFonts w:hint="eastAsia" w:ascii="Times New Roman" w:hAnsi="Times New Roman" w:eastAsia="仿宋_GB2312" w:cs="仿宋_GB2312"/>
          <w:b w:val="0"/>
          <w:color w:val="000000" w:themeColor="text1"/>
          <w:spacing w:val="-2"/>
          <w:sz w:val="32"/>
          <w:szCs w:val="32"/>
          <w14:textFill>
            <w14:solidFill>
              <w14:schemeClr w14:val="tx1"/>
            </w14:solidFill>
          </w14:textFill>
        </w:rPr>
      </w:pPr>
    </w:p>
    <w:p w14:paraId="26843256">
      <w:pPr>
        <w:keepNext w:val="0"/>
        <w:keepLines w:val="0"/>
        <w:pageBreakBefore w:val="0"/>
        <w:widowControl w:val="0"/>
        <w:kinsoku/>
        <w:wordWrap/>
        <w:overflowPunct/>
        <w:topLinePunct w:val="0"/>
        <w:autoSpaceDE w:val="0"/>
        <w:autoSpaceDN w:val="0"/>
        <w:bidi w:val="0"/>
        <w:adjustRightInd/>
        <w:snapToGrid/>
        <w:spacing w:after="118" w:afterLines="20" w:line="640" w:lineRule="exact"/>
        <w:ind w:left="0" w:leftChars="0" w:right="0" w:firstLine="628" w:firstLineChars="200"/>
        <w:jc w:val="center"/>
        <w:textAlignment w:val="baseline"/>
        <w:outlineLvl w:val="0"/>
        <w:rPr>
          <w:rFonts w:hint="eastAsia" w:ascii="黑体" w:hAnsi="黑体" w:eastAsia="黑体" w:cs="黑体"/>
          <w:b w:val="0"/>
          <w:color w:val="000000" w:themeColor="text1"/>
          <w:sz w:val="32"/>
          <w:szCs w:val="32"/>
          <w14:textFill>
            <w14:solidFill>
              <w14:schemeClr w14:val="tx1"/>
            </w14:solidFill>
          </w14:textFill>
        </w:rPr>
      </w:pPr>
      <w:r>
        <w:rPr>
          <w:rFonts w:hint="eastAsia" w:ascii="黑体" w:hAnsi="黑体" w:eastAsia="黑体" w:cs="黑体"/>
          <w:b w:val="0"/>
          <w:color w:val="000000" w:themeColor="text1"/>
          <w:spacing w:val="-1"/>
          <w:position w:val="1"/>
          <w:sz w:val="32"/>
          <w:szCs w:val="32"/>
          <w14:textFill>
            <w14:solidFill>
              <w14:schemeClr w14:val="tx1"/>
            </w14:solidFill>
          </w14:textFill>
        </w:rPr>
        <w:t>第五章</w:t>
      </w:r>
      <w:r>
        <w:rPr>
          <w:rFonts w:hint="eastAsia" w:ascii="黑体" w:hAnsi="黑体" w:eastAsia="黑体" w:cs="黑体"/>
          <w:b w:val="0"/>
          <w:color w:val="000000" w:themeColor="text1"/>
          <w:spacing w:val="23"/>
          <w:position w:val="1"/>
          <w:sz w:val="32"/>
          <w:szCs w:val="32"/>
          <w14:textFill>
            <w14:solidFill>
              <w14:schemeClr w14:val="tx1"/>
            </w14:solidFill>
          </w14:textFill>
        </w:rPr>
        <w:t xml:space="preserve">  </w:t>
      </w:r>
      <w:r>
        <w:rPr>
          <w:rFonts w:hint="eastAsia" w:ascii="黑体" w:hAnsi="黑体" w:eastAsia="黑体" w:cs="黑体"/>
          <w:b w:val="0"/>
          <w:color w:val="000000" w:themeColor="text1"/>
          <w:spacing w:val="-1"/>
          <w:position w:val="1"/>
          <w:sz w:val="32"/>
          <w:szCs w:val="32"/>
          <w14:textFill>
            <w14:solidFill>
              <w14:schemeClr w14:val="tx1"/>
            </w14:solidFill>
          </w14:textFill>
        </w:rPr>
        <w:t>附则</w:t>
      </w:r>
    </w:p>
    <w:p w14:paraId="2BAAA9F8">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一</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本规定所称的“间距”是指申请点与最近已设</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置的零售点或中小学、幼儿园学生进出通道</w:t>
      </w:r>
      <w:r>
        <w:rPr>
          <w:rFonts w:hint="eastAsia" w:ascii="CESI仿宋-GB2312" w:hAnsi="CESI仿宋-GB2312" w:eastAsia="CESI仿宋-GB2312" w:cs="CESI仿宋-GB2312"/>
          <w:b w:val="0"/>
          <w:color w:val="000000" w:themeColor="text1"/>
          <w:spacing w:val="-69"/>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口边缘间隔距离。间</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距为行人可通行且符合交通法规的通行线路的最短路径。</w:t>
      </w:r>
    </w:p>
    <w:p w14:paraId="29FF1159">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本规定所称的“封闭式居民小区”是指有明确</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的边界和小区名称且小区外的人员不能随意进出，通常设有门</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岗、车辆出入管理的小区。“商业综合体”是指涵盖购物、文化</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娱乐、餐饮等多种功能的商场、购物中心。</w:t>
      </w:r>
    </w:p>
    <w:p w14:paraId="21521522">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三</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2"/>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本规定所称的“固定经营场所”是指</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封闭且不可移动的场所，不包含居民楼内公用巷道、楼梯间、流动摊点（车、棚）、报刊亭、违章建筑、活动板</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房、临时建筑物、危房、市政规划已标示待拆迁</w:t>
      </w: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建筑等。</w:t>
      </w:r>
    </w:p>
    <w:p w14:paraId="5F9E4431">
      <w:pPr>
        <w:keepNext w:val="0"/>
        <w:keepLines w:val="0"/>
        <w:pageBreakBefore w:val="0"/>
        <w:widowControl w:val="0"/>
        <w:kinsoku/>
        <w:wordWrap/>
        <w:overflowPunct/>
        <w:topLinePunct w:val="0"/>
        <w:bidi w:val="0"/>
        <w:adjustRightInd/>
        <w:snapToGrid/>
        <w:spacing w:after="118" w:afterLines="20" w:line="560" w:lineRule="exact"/>
        <w:ind w:left="0" w:leftChars="0" w:right="0" w:firstLine="664"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Fonts w:hint="eastAsia" w:ascii="CESI仿宋-GB2312" w:hAnsi="CESI仿宋-GB2312" w:eastAsia="CESI仿宋-GB2312" w:cs="CESI仿宋-GB2312"/>
          <w:b w:val="0"/>
          <w:color w:val="000000" w:themeColor="text1"/>
          <w:spacing w:val="8"/>
          <w:sz w:val="32"/>
          <w:szCs w:val="32"/>
          <w14:textFill>
            <w14:solidFill>
              <w14:schemeClr w14:val="tx1"/>
            </w14:solidFill>
          </w14:textFill>
        </w:rPr>
        <w:t>营业执照注册地址较为模糊的，可以对其注册地址进行细</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化，经营人取得许可后只得在细化后的经营场所内依法开展经</w:t>
      </w:r>
      <w:r>
        <w:rPr>
          <w:rFonts w:hint="eastAsia" w:ascii="CESI仿宋-GB2312" w:hAnsi="CESI仿宋-GB2312" w:eastAsia="CESI仿宋-GB2312" w:cs="CESI仿宋-GB2312"/>
          <w:b w:val="0"/>
          <w:color w:val="000000" w:themeColor="text1"/>
          <w:spacing w:val="-9"/>
          <w:sz w:val="32"/>
          <w:szCs w:val="32"/>
          <w14:textFill>
            <w14:solidFill>
              <w14:schemeClr w14:val="tx1"/>
            </w14:solidFill>
          </w14:textFill>
        </w:rPr>
        <w:t>营。</w:t>
      </w:r>
    </w:p>
    <w:p w14:paraId="1351E3E6">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四</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本规定所称的“经营场所与住所不相独立”是</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指从事烟草专卖品销售、储存的经营场所与生活区域或他人的经营场所从空间上无法分离和断开，在物理特性上无实体墙隔离且</w:t>
      </w:r>
      <w:r>
        <w:rPr>
          <w:rFonts w:hint="eastAsia" w:ascii="CESI仿宋-GB2312" w:hAnsi="CESI仿宋-GB2312" w:eastAsia="CESI仿宋-GB2312" w:cs="CESI仿宋-GB2312"/>
          <w:b w:val="0"/>
          <w:color w:val="000000" w:themeColor="text1"/>
          <w:spacing w:val="-12"/>
          <w:sz w:val="32"/>
          <w:szCs w:val="32"/>
          <w14:textFill>
            <w14:solidFill>
              <w14:schemeClr w14:val="tx1"/>
            </w14:solidFill>
          </w14:textFill>
        </w:rPr>
        <w:t>无明确的区域界线。包含安保门房、住宅公寓（位于首层的除外）、</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办公场所、仓库，生活住所的车库、地下室、储藏室以及地面二</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层（及以上</w:t>
      </w:r>
      <w:r>
        <w:rPr>
          <w:rFonts w:hint="eastAsia" w:ascii="CESI仿宋-GB2312" w:hAnsi="CESI仿宋-GB2312" w:eastAsia="CESI仿宋-GB2312" w:cs="CESI仿宋-GB2312"/>
          <w:b w:val="0"/>
          <w:color w:val="000000" w:themeColor="text1"/>
          <w:spacing w:val="21"/>
          <w:sz w:val="32"/>
          <w:szCs w:val="32"/>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以及经营区前后、左右、上下有门与生活区（</w:t>
      </w:r>
      <w:r>
        <w:rPr>
          <w:rFonts w:hint="eastAsia" w:ascii="CESI仿宋-GB2312" w:hAnsi="CESI仿宋-GB2312" w:eastAsia="CESI仿宋-GB2312" w:cs="CESI仿宋-GB2312"/>
          <w:b w:val="0"/>
          <w:color w:val="000000" w:themeColor="text1"/>
          <w:spacing w:val="-8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如</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隔间、阁楼、房间）相通的未对消费者全开放的场所等。</w:t>
      </w:r>
    </w:p>
    <w:p w14:paraId="3E7A6D86">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五</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eastAsia="仿宋_GB2312" w:cs="仿宋_GB2312"/>
          <w:b w:val="0"/>
          <w:color w:val="000000" w:themeColor="text1"/>
          <w:spacing w:val="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本规定中涉及的中小学校、幼儿园，是指在当</w:t>
      </w:r>
      <w:r>
        <w:rPr>
          <w:rFonts w:hint="eastAsia" w:ascii="CESI仿宋-GB2312" w:hAnsi="CESI仿宋-GB2312" w:eastAsia="CESI仿宋-GB2312" w:cs="CESI仿宋-GB2312"/>
          <w:b w:val="0"/>
          <w:color w:val="000000" w:themeColor="text1"/>
          <w:spacing w:val="5"/>
          <w:sz w:val="32"/>
          <w:szCs w:val="32"/>
          <w14:textFill>
            <w14:solidFill>
              <w14:schemeClr w14:val="tx1"/>
            </w14:solidFill>
          </w14:textFill>
        </w:rPr>
        <w:t>地教育行政主管部门核准登记目录内的中小学校、幼儿园。“中小学校”是指普通中小学、特殊教育学校、中等职业学校、专门</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学校；“幼儿园”是指经教育部门依法批准的公</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办和民办全日制、</w:t>
      </w:r>
      <w:r>
        <w:rPr>
          <w:rFonts w:hint="eastAsia" w:ascii="CESI仿宋-GB2312" w:hAnsi="CESI仿宋-GB2312" w:eastAsia="CESI仿宋-GB2312" w:cs="CESI仿宋-GB2312"/>
          <w:b w:val="0"/>
          <w:color w:val="000000" w:themeColor="text1"/>
          <w:spacing w:val="7"/>
          <w:sz w:val="32"/>
          <w:szCs w:val="32"/>
          <w14:textFill>
            <w14:solidFill>
              <w14:schemeClr w14:val="tx1"/>
            </w14:solidFill>
          </w14:textFill>
        </w:rPr>
        <w:t>寄宿制、半日制幼儿园。</w:t>
      </w:r>
    </w:p>
    <w:p w14:paraId="7B0B38E6">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二十六</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2"/>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本规定所称“中小学校、幼儿园周围”指中小</w:t>
      </w:r>
      <w:r>
        <w:rPr>
          <w:rFonts w:hint="eastAsia" w:ascii="CESI仿宋-GB2312" w:hAnsi="CESI仿宋-GB2312" w:eastAsia="CESI仿宋-GB2312" w:cs="CESI仿宋-GB2312"/>
          <w:b w:val="0"/>
          <w:color w:val="000000" w:themeColor="text1"/>
          <w:spacing w:val="4"/>
          <w:sz w:val="32"/>
          <w:szCs w:val="32"/>
          <w14:textFill>
            <w14:solidFill>
              <w14:schemeClr w14:val="tx1"/>
            </w14:solidFill>
          </w14:textFill>
        </w:rPr>
        <w:t>学校、幼儿园内部及距离学生进出通道口</w:t>
      </w:r>
      <w:r>
        <w:rPr>
          <w:rFonts w:hint="eastAsia" w:ascii="CESI仿宋-GB2312" w:hAnsi="CESI仿宋-GB2312" w:eastAsia="CESI仿宋-GB2312" w:cs="CESI仿宋-GB2312"/>
          <w:b w:val="0"/>
          <w:color w:val="000000" w:themeColor="text1"/>
          <w:spacing w:val="4"/>
          <w:sz w:val="32"/>
          <w:szCs w:val="32"/>
          <w:lang w:val="en-US" w:eastAsia="zh-CN"/>
          <w14:textFill>
            <w14:solidFill>
              <w14:schemeClr w14:val="tx1"/>
            </w14:solidFill>
          </w14:textFill>
        </w:rPr>
        <w:t>50</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米以内。</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3"/>
          <w:sz w:val="32"/>
          <w:szCs w:val="32"/>
          <w14:textFill>
            <w14:solidFill>
              <w14:schemeClr w14:val="tx1"/>
            </w14:solidFill>
          </w14:textFill>
        </w:rPr>
        <w:t>进出通道</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口</w:t>
      </w:r>
      <w:r>
        <w:rPr>
          <w:rFonts w:hint="eastAsia" w:ascii="CESI仿宋-GB2312" w:hAnsi="CESI仿宋-GB2312" w:eastAsia="CESI仿宋-GB2312" w:cs="CESI仿宋-GB2312"/>
          <w:b w:val="0"/>
          <w:color w:val="000000" w:themeColor="text1"/>
          <w:spacing w:val="3"/>
          <w:sz w:val="32"/>
          <w:szCs w:val="32"/>
          <w:lang w:eastAsia="zh-CN"/>
          <w14:textFill>
            <w14:solidFill>
              <w14:schemeClr w14:val="tx1"/>
            </w14:solidFill>
          </w14:textFill>
        </w:rPr>
        <w:t>”</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指中小学校及幼儿园用于学生、幼儿日常进出的通道</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口</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w:t>
      </w:r>
    </w:p>
    <w:p w14:paraId="55943E1D">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default"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pP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第二十七条</w:t>
      </w:r>
      <w:r>
        <w:rPr>
          <w:rFonts w:hint="eastAsia" w:ascii="CESI仿宋-GB2312" w:hAnsi="CESI仿宋-GB2312" w:eastAsia="CESI仿宋-GB2312" w:cs="CESI仿宋-GB2312"/>
          <w:b w:val="0"/>
          <w:color w:val="FF0000"/>
          <w:spacing w:val="1"/>
          <w:sz w:val="32"/>
          <w:szCs w:val="32"/>
          <w:lang w:val="en-US" w:eastAsia="zh-CN"/>
        </w:rPr>
        <w:t xml:space="preserve"> </w:t>
      </w:r>
      <w:r>
        <w:rPr>
          <w:rFonts w:hint="eastAsia" w:ascii="CESI仿宋-GB2312" w:hAnsi="CESI仿宋-GB2312" w:eastAsia="CESI仿宋-GB2312" w:cs="CESI仿宋-GB2312"/>
          <w:b w:val="0"/>
          <w:color w:val="000000" w:themeColor="text1"/>
          <w:spacing w:val="1"/>
          <w:sz w:val="32"/>
          <w:szCs w:val="32"/>
          <w:lang w:val="en-US" w:eastAsia="zh-CN"/>
          <w14:textFill>
            <w14:solidFill>
              <w14:schemeClr w14:val="tx1"/>
            </w14:solidFill>
          </w14:textFill>
        </w:rPr>
        <w:t>本规划中居民住宅区、行政村、自然村的人口数量参考物业管理部门、村委会等单位提供的相关数据进行计算。</w:t>
      </w:r>
    </w:p>
    <w:p w14:paraId="53F37E43">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eastAsia="zh-CN"/>
          <w14:textFill>
            <w14:solidFill>
              <w14:schemeClr w14:val="tx1"/>
            </w14:solidFill>
          </w14:textFill>
        </w:rPr>
        <w:t>二十</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八</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2"/>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本规定中的“</w:t>
      </w:r>
      <w:r>
        <w:rPr>
          <w:rFonts w:hint="eastAsia" w:ascii="CESI仿宋-GB2312" w:hAnsi="CESI仿宋-GB2312" w:eastAsia="CESI仿宋-GB2312" w:cs="CESI仿宋-GB2312"/>
          <w:b w:val="0"/>
          <w:color w:val="000000" w:themeColor="text1"/>
          <w:spacing w:val="-84"/>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以上”“不超过”“不小于”“不低于”包含本数，“</w:t>
      </w:r>
      <w:r>
        <w:rPr>
          <w:rFonts w:hint="eastAsia" w:ascii="CESI仿宋-GB2312" w:hAnsi="CESI仿宋-GB2312" w:eastAsia="CESI仿宋-GB2312" w:cs="CESI仿宋-GB2312"/>
          <w:b w:val="0"/>
          <w:color w:val="000000" w:themeColor="text1"/>
          <w:spacing w:val="-100"/>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以下”“</w:t>
      </w:r>
      <w:r>
        <w:rPr>
          <w:rFonts w:hint="eastAsia" w:ascii="CESI仿宋-GB2312" w:hAnsi="CESI仿宋-GB2312" w:eastAsia="CESI仿宋-GB2312" w:cs="CESI仿宋-GB2312"/>
          <w:b w:val="0"/>
          <w:color w:val="000000" w:themeColor="text1"/>
          <w:spacing w:val="-100"/>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以内”“</w:t>
      </w:r>
      <w:r>
        <w:rPr>
          <w:rFonts w:hint="eastAsia" w:ascii="CESI仿宋-GB2312" w:hAnsi="CESI仿宋-GB2312" w:eastAsia="CESI仿宋-GB2312" w:cs="CESI仿宋-GB2312"/>
          <w:b w:val="0"/>
          <w:color w:val="000000" w:themeColor="text1"/>
          <w:spacing w:val="-89"/>
          <w:sz w:val="32"/>
          <w:szCs w:val="32"/>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2"/>
          <w:sz w:val="32"/>
          <w:szCs w:val="32"/>
          <w14:textFill>
            <w14:solidFill>
              <w14:schemeClr w14:val="tx1"/>
            </w14:solidFill>
          </w14:textFill>
        </w:rPr>
        <w:t>内”不包含</w:t>
      </w:r>
      <w:r>
        <w:rPr>
          <w:rFonts w:hint="eastAsia" w:ascii="CESI仿宋-GB2312" w:hAnsi="CESI仿宋-GB2312" w:eastAsia="CESI仿宋-GB2312" w:cs="CESI仿宋-GB2312"/>
          <w:b w:val="0"/>
          <w:color w:val="000000" w:themeColor="text1"/>
          <w:spacing w:val="1"/>
          <w:sz w:val="32"/>
          <w:szCs w:val="32"/>
          <w14:textFill>
            <w14:solidFill>
              <w14:schemeClr w14:val="tx1"/>
            </w14:solidFill>
          </w14:textFill>
        </w:rPr>
        <w:t>本数。</w:t>
      </w:r>
    </w:p>
    <w:p w14:paraId="71098887">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CESI仿宋-GB2312" w:hAnsi="CESI仿宋-GB2312" w:eastAsia="CESI仿宋-GB2312" w:cs="CESI仿宋-GB2312"/>
          <w:b w:val="0"/>
          <w:color w:val="000000" w:themeColor="text1"/>
          <w:sz w:val="32"/>
          <w:szCs w:val="32"/>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二十九</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pacing w:val="8"/>
          <w:position w:val="1"/>
          <w:sz w:val="32"/>
          <w:szCs w:val="32"/>
          <w:lang w:val="en-US" w:eastAsia="zh-CN"/>
          <w14:textFill>
            <w14:solidFill>
              <w14:schemeClr w14:val="tx1"/>
            </w14:solidFill>
          </w14:textFill>
        </w:rPr>
        <w:t xml:space="preserve"> </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本规定由</w:t>
      </w:r>
      <w:r>
        <w:rPr>
          <w:rFonts w:hint="eastAsia" w:ascii="CESI仿宋-GB2312" w:hAnsi="CESI仿宋-GB2312" w:eastAsia="CESI仿宋-GB2312" w:cs="CESI仿宋-GB2312"/>
          <w:b w:val="0"/>
          <w:color w:val="000000" w:themeColor="text1"/>
          <w:spacing w:val="8"/>
          <w:position w:val="1"/>
          <w:sz w:val="32"/>
          <w:szCs w:val="32"/>
          <w:lang w:val="en-US" w:eastAsia="zh-CN"/>
          <w14:textFill>
            <w14:solidFill>
              <w14:schemeClr w14:val="tx1"/>
            </w14:solidFill>
          </w14:textFill>
        </w:rPr>
        <w:t>文水县</w:t>
      </w:r>
      <w:r>
        <w:rPr>
          <w:rFonts w:hint="eastAsia" w:ascii="CESI仿宋-GB2312" w:hAnsi="CESI仿宋-GB2312" w:eastAsia="CESI仿宋-GB2312" w:cs="CESI仿宋-GB2312"/>
          <w:b w:val="0"/>
          <w:color w:val="000000" w:themeColor="text1"/>
          <w:spacing w:val="8"/>
          <w:position w:val="1"/>
          <w:sz w:val="32"/>
          <w:szCs w:val="32"/>
          <w14:textFill>
            <w14:solidFill>
              <w14:schemeClr w14:val="tx1"/>
            </w14:solidFill>
          </w14:textFill>
        </w:rPr>
        <w:t>烟草专卖局负责解释。</w:t>
      </w:r>
    </w:p>
    <w:p w14:paraId="697E8F2F">
      <w:pPr>
        <w:keepNext w:val="0"/>
        <w:keepLines w:val="0"/>
        <w:pageBreakBefore w:val="0"/>
        <w:widowControl w:val="0"/>
        <w:kinsoku/>
        <w:wordWrap/>
        <w:overflowPunct/>
        <w:topLinePunct w:val="0"/>
        <w:bidi w:val="0"/>
        <w:adjustRightInd/>
        <w:snapToGrid/>
        <w:spacing w:after="118" w:afterLines="20" w:line="560" w:lineRule="exact"/>
        <w:ind w:left="0" w:leftChars="0" w:right="0" w:firstLine="632" w:firstLineChars="200"/>
        <w:jc w:val="left"/>
        <w:textAlignment w:val="baseline"/>
        <w:rPr>
          <w:rFonts w:hint="eastAsia" w:ascii="方正仿宋_GBK" w:hAnsi="方正仿宋_GBK" w:eastAsia="方正仿宋_GBK" w:cs="方正仿宋_GBK"/>
          <w:b w:val="0"/>
          <w:color w:val="000000" w:themeColor="text1"/>
          <w:spacing w:val="2"/>
          <w:sz w:val="32"/>
          <w:szCs w:val="31"/>
          <w14:textFill>
            <w14:solidFill>
              <w14:schemeClr w14:val="tx1"/>
            </w14:solidFill>
          </w14:textFill>
        </w:rPr>
      </w:pPr>
      <w:r>
        <w:rPr>
          <w:rStyle w:val="14"/>
          <w:rFonts w:hint="eastAsia" w:ascii="楷体_GB2312" w:hAnsi="楷体_GB2312" w:eastAsia="楷体_GB2312" w:cs="楷体_GB2312"/>
          <w:b w:val="0"/>
          <w:color w:val="000000" w:themeColor="text1"/>
          <w:sz w:val="32"/>
          <w14:textFill>
            <w14:solidFill>
              <w14:schemeClr w14:val="tx1"/>
            </w14:solidFill>
          </w14:textFill>
        </w:rPr>
        <w:t>第</w:t>
      </w:r>
      <w:r>
        <w:rPr>
          <w:rStyle w:val="14"/>
          <w:rFonts w:hint="eastAsia" w:ascii="楷体_GB2312" w:hAnsi="楷体_GB2312" w:eastAsia="楷体_GB2312" w:cs="楷体_GB2312"/>
          <w:b w:val="0"/>
          <w:color w:val="000000" w:themeColor="text1"/>
          <w:sz w:val="32"/>
          <w:lang w:val="en-US" w:eastAsia="zh-CN"/>
          <w14:textFill>
            <w14:solidFill>
              <w14:schemeClr w14:val="tx1"/>
            </w14:solidFill>
          </w14:textFill>
        </w:rPr>
        <w:t>三十</w:t>
      </w:r>
      <w:r>
        <w:rPr>
          <w:rStyle w:val="14"/>
          <w:rFonts w:hint="eastAsia" w:ascii="楷体_GB2312" w:hAnsi="楷体_GB2312" w:eastAsia="楷体_GB2312" w:cs="楷体_GB2312"/>
          <w:b w:val="0"/>
          <w:color w:val="000000" w:themeColor="text1"/>
          <w:sz w:val="32"/>
          <w14:textFill>
            <w14:solidFill>
              <w14:schemeClr w14:val="tx1"/>
            </w14:solidFill>
          </w14:textFill>
        </w:rPr>
        <w:t>条</w:t>
      </w:r>
      <w:r>
        <w:rPr>
          <w:rFonts w:hint="eastAsia" w:ascii="Times New Roman" w:hAnsi="Times New Roman" w:cs="仿宋_GB2312"/>
          <w:b w:val="0"/>
          <w:color w:val="000000" w:themeColor="text1"/>
          <w:sz w:val="32"/>
          <w:szCs w:val="32"/>
          <w:lang w:val="en-US" w:eastAsia="zh-CN"/>
          <w14:textFill>
            <w14:solidFill>
              <w14:schemeClr w14:val="tx1"/>
            </w14:solidFill>
          </w14:textFill>
        </w:rPr>
        <w:t xml:space="preserve"> </w:t>
      </w:r>
      <w:r>
        <w:rPr>
          <w:rFonts w:hint="eastAsia" w:ascii="方正仿宋_GBK" w:hAnsi="方正仿宋_GBK" w:eastAsia="方正仿宋_GBK" w:cs="方正仿宋_GBK"/>
          <w:b w:val="0"/>
          <w:color w:val="000000" w:themeColor="text1"/>
          <w:sz w:val="32"/>
          <w:szCs w:val="32"/>
          <w14:textFill>
            <w14:solidFill>
              <w14:schemeClr w14:val="tx1"/>
            </w14:solidFill>
          </w14:textFill>
        </w:rPr>
        <w:t>本规定自</w:t>
      </w:r>
      <w:r>
        <w:rPr>
          <w:rFonts w:hint="eastAsia" w:ascii="方正仿宋_GBK" w:hAnsi="方正仿宋_GBK" w:eastAsia="方正仿宋_GBK" w:cs="方正仿宋_GBK"/>
          <w:b w:val="0"/>
          <w:color w:val="000000" w:themeColor="text1"/>
          <w:sz w:val="32"/>
          <w:szCs w:val="32"/>
          <w:lang w:val="en-US" w:eastAsia="zh-CN"/>
          <w14:textFill>
            <w14:solidFill>
              <w14:schemeClr w14:val="tx1"/>
            </w14:solidFill>
          </w14:textFill>
        </w:rPr>
        <w:t>2026</w:t>
      </w:r>
      <w:r>
        <w:rPr>
          <w:rFonts w:hint="eastAsia" w:ascii="方正仿宋_GBK" w:hAnsi="方正仿宋_GBK" w:eastAsia="方正仿宋_GBK" w:cs="方正仿宋_GBK"/>
          <w:b w:val="0"/>
          <w:color w:val="000000" w:themeColor="text1"/>
          <w:sz w:val="32"/>
          <w:szCs w:val="32"/>
          <w14:textFill>
            <w14:solidFill>
              <w14:schemeClr w14:val="tx1"/>
            </w14:solidFill>
          </w14:textFill>
        </w:rPr>
        <w:t>年</w:t>
      </w:r>
      <w:r>
        <w:rPr>
          <w:rFonts w:hint="eastAsia" w:ascii="方正仿宋_GBK" w:hAnsi="方正仿宋_GBK" w:eastAsia="方正仿宋_GBK" w:cs="方正仿宋_GBK"/>
          <w:b w:val="0"/>
          <w:color w:val="000000" w:themeColor="text1"/>
          <w:spacing w:val="-61"/>
          <w:sz w:val="32"/>
          <w:szCs w:val="32"/>
          <w:lang w:val="en-US" w:eastAsia="zh-CN"/>
          <w14:textFill>
            <w14:solidFill>
              <w14:schemeClr w14:val="tx1"/>
            </w14:solidFill>
          </w14:textFill>
        </w:rPr>
        <w:t>9</w:t>
      </w:r>
      <w:r>
        <w:rPr>
          <w:rFonts w:hint="eastAsia" w:ascii="方正仿宋_GBK" w:hAnsi="方正仿宋_GBK" w:eastAsia="方正仿宋_GBK" w:cs="方正仿宋_GBK"/>
          <w:b w:val="0"/>
          <w:color w:val="000000" w:themeColor="text1"/>
          <w:sz w:val="32"/>
          <w:szCs w:val="32"/>
          <w14:textFill>
            <w14:solidFill>
              <w14:schemeClr w14:val="tx1"/>
            </w14:solidFill>
          </w14:textFill>
        </w:rPr>
        <w:t>月</w:t>
      </w:r>
      <w:r>
        <w:rPr>
          <w:rFonts w:hint="eastAsia" w:ascii="方正仿宋_GBK" w:hAnsi="方正仿宋_GBK" w:eastAsia="方正仿宋_GBK" w:cs="方正仿宋_GBK"/>
          <w:b w:val="0"/>
          <w:color w:val="000000" w:themeColor="text1"/>
          <w:spacing w:val="-58"/>
          <w:sz w:val="32"/>
          <w:szCs w:val="32"/>
          <w:lang w:val="en-US" w:eastAsia="zh-CN"/>
          <w14:textFill>
            <w14:solidFill>
              <w14:schemeClr w14:val="tx1"/>
            </w14:solidFill>
          </w14:textFill>
        </w:rPr>
        <w:t>20</w:t>
      </w:r>
      <w:r>
        <w:rPr>
          <w:rFonts w:hint="eastAsia" w:ascii="方正仿宋_GBK" w:hAnsi="方正仿宋_GBK" w:eastAsia="方正仿宋_GBK" w:cs="方正仿宋_GBK"/>
          <w:b w:val="0"/>
          <w:color w:val="000000" w:themeColor="text1"/>
          <w:sz w:val="32"/>
          <w:szCs w:val="32"/>
          <w14:textFill>
            <w14:solidFill>
              <w14:schemeClr w14:val="tx1"/>
            </w14:solidFill>
          </w14:textFill>
        </w:rPr>
        <w:t>日起</w:t>
      </w:r>
      <w:r>
        <w:rPr>
          <w:rFonts w:hint="eastAsia" w:ascii="方正仿宋_GBK" w:hAnsi="方正仿宋_GBK" w:eastAsia="方正仿宋_GBK" w:cs="方正仿宋_GBK"/>
          <w:b w:val="0"/>
          <w:color w:val="000000" w:themeColor="text1"/>
          <w:spacing w:val="-1"/>
          <w:sz w:val="32"/>
          <w:szCs w:val="32"/>
          <w14:textFill>
            <w14:solidFill>
              <w14:schemeClr w14:val="tx1"/>
            </w14:solidFill>
          </w14:textFill>
        </w:rPr>
        <w:t>施行。</w:t>
      </w:r>
      <w:r>
        <w:rPr>
          <w:rFonts w:hint="eastAsia" w:ascii="方正仿宋_GBK" w:hAnsi="方正仿宋_GBK" w:eastAsia="方正仿宋_GBK" w:cs="方正仿宋_GBK"/>
          <w:b w:val="0"/>
          <w:color w:val="000000" w:themeColor="text1"/>
          <w:spacing w:val="-1"/>
          <w:sz w:val="32"/>
          <w:szCs w:val="32"/>
          <w:lang w:eastAsia="zh-CN"/>
          <w14:textFill>
            <w14:solidFill>
              <w14:schemeClr w14:val="tx1"/>
            </w14:solidFill>
          </w14:textFill>
        </w:rPr>
        <w:t>原</w:t>
      </w:r>
      <w:r>
        <w:rPr>
          <w:rFonts w:hint="eastAsia" w:ascii="方正仿宋_GBK" w:hAnsi="方正仿宋_GBK" w:eastAsia="方正仿宋_GBK" w:cs="方正仿宋_GBK"/>
          <w:b w:val="0"/>
          <w:color w:val="000000" w:themeColor="text1"/>
          <w:spacing w:val="-1"/>
          <w:sz w:val="32"/>
          <w:szCs w:val="32"/>
          <w:lang w:val="en-US" w:eastAsia="zh-CN"/>
          <w14:textFill>
            <w14:solidFill>
              <w14:schemeClr w14:val="tx1"/>
            </w14:solidFill>
          </w14:textFill>
        </w:rPr>
        <w:t>2025</w:t>
      </w:r>
      <w:r>
        <w:rPr>
          <w:rFonts w:hint="eastAsia" w:ascii="方正仿宋_GBK" w:hAnsi="方正仿宋_GBK" w:eastAsia="方正仿宋_GBK" w:cs="方正仿宋_GBK"/>
          <w:b w:val="0"/>
          <w:color w:val="000000" w:themeColor="text1"/>
          <w:spacing w:val="-1"/>
          <w:sz w:val="32"/>
          <w:szCs w:val="32"/>
          <w14:textFill>
            <w14:solidFill>
              <w14:schemeClr w14:val="tx1"/>
            </w14:solidFill>
          </w14:textFill>
        </w:rPr>
        <w:t>年</w:t>
      </w:r>
      <w:r>
        <w:rPr>
          <w:rFonts w:hint="eastAsia" w:ascii="方正仿宋_GBK" w:hAnsi="方正仿宋_GBK" w:eastAsia="方正仿宋_GBK" w:cs="方正仿宋_GBK"/>
          <w:b w:val="0"/>
          <w:color w:val="000000" w:themeColor="text1"/>
          <w:spacing w:val="3"/>
          <w:sz w:val="32"/>
          <w:szCs w:val="32"/>
          <w14:textFill>
            <w14:solidFill>
              <w14:schemeClr w14:val="tx1"/>
            </w14:solidFill>
          </w14:textFill>
        </w:rPr>
        <w:t>《</w:t>
      </w:r>
      <w:r>
        <w:rPr>
          <w:rFonts w:hint="eastAsia" w:ascii="方正仿宋_GBK" w:hAnsi="方正仿宋_GBK" w:eastAsia="方正仿宋_GBK" w:cs="方正仿宋_GBK"/>
          <w:b w:val="0"/>
          <w:color w:val="000000" w:themeColor="text1"/>
          <w:spacing w:val="3"/>
          <w:sz w:val="32"/>
          <w:szCs w:val="32"/>
          <w:lang w:val="en-US" w:eastAsia="zh-CN"/>
          <w14:textFill>
            <w14:solidFill>
              <w14:schemeClr w14:val="tx1"/>
            </w14:solidFill>
          </w14:textFill>
        </w:rPr>
        <w:t>文水县</w:t>
      </w:r>
      <w:r>
        <w:rPr>
          <w:rFonts w:hint="eastAsia" w:ascii="方正仿宋_GBK" w:hAnsi="方正仿宋_GBK" w:eastAsia="方正仿宋_GBK" w:cs="方正仿宋_GBK"/>
          <w:b w:val="0"/>
          <w:color w:val="000000" w:themeColor="text1"/>
          <w:spacing w:val="3"/>
          <w:sz w:val="32"/>
          <w:szCs w:val="32"/>
          <w14:textFill>
            <w14:solidFill>
              <w14:schemeClr w14:val="tx1"/>
            </w14:solidFill>
          </w14:textFill>
        </w:rPr>
        <w:t>烟草制品零售点合理布局规定》同时</w:t>
      </w:r>
      <w:r>
        <w:rPr>
          <w:rFonts w:hint="eastAsia" w:ascii="方正仿宋_GBK" w:hAnsi="方正仿宋_GBK" w:eastAsia="方正仿宋_GBK" w:cs="方正仿宋_GBK"/>
          <w:b w:val="0"/>
          <w:color w:val="000000" w:themeColor="text1"/>
          <w:spacing w:val="2"/>
          <w:sz w:val="32"/>
          <w:szCs w:val="32"/>
          <w14:textFill>
            <w14:solidFill>
              <w14:schemeClr w14:val="tx1"/>
            </w14:solidFill>
          </w14:textFill>
        </w:rPr>
        <w:t>废止。</w:t>
      </w:r>
    </w:p>
    <w:p w14:paraId="3F8C654D">
      <w:pPr>
        <w:keepNext w:val="0"/>
        <w:keepLines w:val="0"/>
        <w:pageBreakBefore w:val="0"/>
        <w:widowControl w:val="0"/>
        <w:kinsoku/>
        <w:wordWrap/>
        <w:overflowPunct/>
        <w:topLinePunct w:val="0"/>
        <w:bidi w:val="0"/>
        <w:adjustRightInd/>
        <w:snapToGrid/>
        <w:spacing w:after="118" w:afterLines="20" w:line="560" w:lineRule="exact"/>
        <w:ind w:left="0" w:right="0" w:firstLine="632" w:firstLineChars="200"/>
        <w:jc w:val="both"/>
        <w:textAlignment w:val="baseline"/>
        <w:rPr>
          <w:rFonts w:ascii="Times New Roman" w:hAnsi="Times New Roman" w:eastAsia="仿宋_GB2312"/>
          <w:b w:val="0"/>
          <w:color w:val="000000" w:themeColor="text1"/>
          <w:sz w:val="32"/>
          <w14:textFill>
            <w14:solidFill>
              <w14:schemeClr w14:val="tx1"/>
            </w14:solidFill>
          </w14:textFill>
        </w:rPr>
      </w:pPr>
    </w:p>
    <w:sectPr>
      <w:footerReference r:id="rId5" w:type="default"/>
      <w:pgSz w:w="11906" w:h="16838"/>
      <w:pgMar w:top="2098" w:right="1531" w:bottom="1984" w:left="1531" w:header="851" w:footer="1417" w:gutter="0"/>
      <w:pgNumType w:fmt="decimal"/>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GB2312">
    <w:altName w:val="宋体"/>
    <w:panose1 w:val="00000000000000000000"/>
    <w:charset w:val="00"/>
    <w:family w:val="auto"/>
    <w:pitch w:val="default"/>
    <w:sig w:usb0="00000000" w:usb1="00000000" w:usb2="00000000" w:usb3="00000000" w:csb0="00000000" w:csb1="00000000"/>
  </w:font>
  <w:font w:name="方正楷体_GBK">
    <w:altName w:val="微软雅黑"/>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CESI楷体-GB2312">
    <w:altName w:val="宋体"/>
    <w:panose1 w:val="02000500000000000000"/>
    <w:charset w:val="86"/>
    <w:family w:val="auto"/>
    <w:pitch w:val="default"/>
    <w:sig w:usb0="00000000" w:usb1="00000000" w:usb2="00000012" w:usb3="00000000" w:csb0="0004000F"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649EE">
    <w:pPr>
      <w:pStyle w:val="4"/>
      <w:spacing w:line="361" w:lineRule="exac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F5D01">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8F5D01">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8915B7"/>
    <w:rsid w:val="013F7023"/>
    <w:rsid w:val="02720562"/>
    <w:rsid w:val="03377CC5"/>
    <w:rsid w:val="03DD3BE6"/>
    <w:rsid w:val="04423ADC"/>
    <w:rsid w:val="05164BE7"/>
    <w:rsid w:val="06FC0156"/>
    <w:rsid w:val="07844720"/>
    <w:rsid w:val="08D94CEE"/>
    <w:rsid w:val="08E6788B"/>
    <w:rsid w:val="0DE16818"/>
    <w:rsid w:val="0EF9528D"/>
    <w:rsid w:val="11417E4C"/>
    <w:rsid w:val="13593E79"/>
    <w:rsid w:val="13DAC3DE"/>
    <w:rsid w:val="15CEA08B"/>
    <w:rsid w:val="165322D8"/>
    <w:rsid w:val="17760616"/>
    <w:rsid w:val="19267B1A"/>
    <w:rsid w:val="194523AC"/>
    <w:rsid w:val="19E803E4"/>
    <w:rsid w:val="1B3943E9"/>
    <w:rsid w:val="1B8942FC"/>
    <w:rsid w:val="1BB57C9A"/>
    <w:rsid w:val="1BDB1932"/>
    <w:rsid w:val="1BEE3B14"/>
    <w:rsid w:val="1DDD7013"/>
    <w:rsid w:val="1FC77AC8"/>
    <w:rsid w:val="20346C2D"/>
    <w:rsid w:val="20714E63"/>
    <w:rsid w:val="209D2ACD"/>
    <w:rsid w:val="20D103AA"/>
    <w:rsid w:val="21035D38"/>
    <w:rsid w:val="218915B7"/>
    <w:rsid w:val="23336EBA"/>
    <w:rsid w:val="24412F87"/>
    <w:rsid w:val="25145328"/>
    <w:rsid w:val="266F0A68"/>
    <w:rsid w:val="26C662F0"/>
    <w:rsid w:val="26DA7197"/>
    <w:rsid w:val="27D859F7"/>
    <w:rsid w:val="2BAF1520"/>
    <w:rsid w:val="2BDE6BD3"/>
    <w:rsid w:val="2F30614E"/>
    <w:rsid w:val="2F863353"/>
    <w:rsid w:val="2F9715E0"/>
    <w:rsid w:val="2FC36019"/>
    <w:rsid w:val="2FFFF37D"/>
    <w:rsid w:val="34525525"/>
    <w:rsid w:val="35380BBF"/>
    <w:rsid w:val="36347C65"/>
    <w:rsid w:val="36CA53FD"/>
    <w:rsid w:val="37705379"/>
    <w:rsid w:val="382863A5"/>
    <w:rsid w:val="38496640"/>
    <w:rsid w:val="39970851"/>
    <w:rsid w:val="39BA5E7F"/>
    <w:rsid w:val="3A7D1A01"/>
    <w:rsid w:val="3C340332"/>
    <w:rsid w:val="3CD62A0D"/>
    <w:rsid w:val="3CFFCD53"/>
    <w:rsid w:val="3F78D644"/>
    <w:rsid w:val="3FA7B8D4"/>
    <w:rsid w:val="3FAFDBC1"/>
    <w:rsid w:val="3FFA1705"/>
    <w:rsid w:val="43135D99"/>
    <w:rsid w:val="440B4EEF"/>
    <w:rsid w:val="44595313"/>
    <w:rsid w:val="45015935"/>
    <w:rsid w:val="460344AA"/>
    <w:rsid w:val="462B5492"/>
    <w:rsid w:val="47177BBA"/>
    <w:rsid w:val="47426DF8"/>
    <w:rsid w:val="47645D44"/>
    <w:rsid w:val="49E901DB"/>
    <w:rsid w:val="4C194E4E"/>
    <w:rsid w:val="4CE27FCB"/>
    <w:rsid w:val="4F8C2713"/>
    <w:rsid w:val="4FFF2566"/>
    <w:rsid w:val="52684B42"/>
    <w:rsid w:val="5516287C"/>
    <w:rsid w:val="55FF83F5"/>
    <w:rsid w:val="57327F9E"/>
    <w:rsid w:val="579544DF"/>
    <w:rsid w:val="57CD8998"/>
    <w:rsid w:val="584916D2"/>
    <w:rsid w:val="59290CF4"/>
    <w:rsid w:val="593A0373"/>
    <w:rsid w:val="59EA13B3"/>
    <w:rsid w:val="5AFC8545"/>
    <w:rsid w:val="5BB6608D"/>
    <w:rsid w:val="5D0C6B74"/>
    <w:rsid w:val="5D8C7E15"/>
    <w:rsid w:val="5D9E1667"/>
    <w:rsid w:val="5FEF6061"/>
    <w:rsid w:val="5FFD256A"/>
    <w:rsid w:val="5FFEE51D"/>
    <w:rsid w:val="60E00381"/>
    <w:rsid w:val="62A17374"/>
    <w:rsid w:val="62AF18A2"/>
    <w:rsid w:val="62B7C723"/>
    <w:rsid w:val="65FD8E53"/>
    <w:rsid w:val="6639016F"/>
    <w:rsid w:val="69CB6ECC"/>
    <w:rsid w:val="69FB7DAD"/>
    <w:rsid w:val="6B1831A6"/>
    <w:rsid w:val="6B275ADB"/>
    <w:rsid w:val="6B3F5E06"/>
    <w:rsid w:val="6CF71342"/>
    <w:rsid w:val="6D9C294B"/>
    <w:rsid w:val="6EBFC0F5"/>
    <w:rsid w:val="6EFC43A9"/>
    <w:rsid w:val="6FBE29DA"/>
    <w:rsid w:val="6FEBB799"/>
    <w:rsid w:val="71DEE4F7"/>
    <w:rsid w:val="727F6887"/>
    <w:rsid w:val="73FF61A2"/>
    <w:rsid w:val="741205A6"/>
    <w:rsid w:val="762FBE8A"/>
    <w:rsid w:val="76EB7053"/>
    <w:rsid w:val="777F24DA"/>
    <w:rsid w:val="77EA21F6"/>
    <w:rsid w:val="77FFDCF5"/>
    <w:rsid w:val="796A5940"/>
    <w:rsid w:val="79DF7807"/>
    <w:rsid w:val="7BFDF67F"/>
    <w:rsid w:val="7D766F5B"/>
    <w:rsid w:val="7DBE74A6"/>
    <w:rsid w:val="7DED1A92"/>
    <w:rsid w:val="7DFBADD3"/>
    <w:rsid w:val="7EC8914E"/>
    <w:rsid w:val="7F7BC116"/>
    <w:rsid w:val="7FBE3D23"/>
    <w:rsid w:val="7FF4C884"/>
    <w:rsid w:val="7FF716AF"/>
    <w:rsid w:val="7FFAD532"/>
    <w:rsid w:val="AAF789FC"/>
    <w:rsid w:val="AFCBEBA7"/>
    <w:rsid w:val="BBFFD1E9"/>
    <w:rsid w:val="BEDE07F3"/>
    <w:rsid w:val="BEDF1C6D"/>
    <w:rsid w:val="BEFFB89A"/>
    <w:rsid w:val="BF2D6A6E"/>
    <w:rsid w:val="BFEBF389"/>
    <w:rsid w:val="BFF956CF"/>
    <w:rsid w:val="C3EF79F5"/>
    <w:rsid w:val="CE7FA68C"/>
    <w:rsid w:val="CF7D315E"/>
    <w:rsid w:val="CF7FB3A9"/>
    <w:rsid w:val="CFDFA4A5"/>
    <w:rsid w:val="D0E74CF3"/>
    <w:rsid w:val="D234C2A5"/>
    <w:rsid w:val="DFBF3F0A"/>
    <w:rsid w:val="DFFC0954"/>
    <w:rsid w:val="E4D104B3"/>
    <w:rsid w:val="E7E87DA0"/>
    <w:rsid w:val="EB1BF8B6"/>
    <w:rsid w:val="ECEBAE43"/>
    <w:rsid w:val="EDF7B86D"/>
    <w:rsid w:val="EDFAF3B9"/>
    <w:rsid w:val="EF750FD6"/>
    <w:rsid w:val="EFA4210E"/>
    <w:rsid w:val="F5FC22BC"/>
    <w:rsid w:val="F96B03C4"/>
    <w:rsid w:val="FCBBB364"/>
    <w:rsid w:val="FD4B6DAB"/>
    <w:rsid w:val="FD6F0E07"/>
    <w:rsid w:val="FD7E755E"/>
    <w:rsid w:val="FD7F28CB"/>
    <w:rsid w:val="FD7F9F43"/>
    <w:rsid w:val="FDADDEAC"/>
    <w:rsid w:val="FDCF6759"/>
    <w:rsid w:val="FE5B1396"/>
    <w:rsid w:val="FFCFE6B4"/>
    <w:rsid w:val="FFF7485C"/>
    <w:rsid w:val="FFF90B4F"/>
    <w:rsid w:val="FFFB2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仿宋_GB2312" w:cs="Arial"/>
      <w:snapToGrid w:val="0"/>
      <w:color w:val="000000"/>
      <w:kern w:val="0"/>
      <w:sz w:val="32"/>
      <w:szCs w:val="21"/>
      <w:lang w:val="en-US" w:eastAsia="en-US" w:bidi="ar-SA"/>
    </w:rPr>
  </w:style>
  <w:style w:type="paragraph" w:styleId="2">
    <w:name w:val="heading 2"/>
    <w:basedOn w:val="1"/>
    <w:next w:val="1"/>
    <w:link w:val="12"/>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snapToGrid w:val="0"/>
      <w:jc w:val="left"/>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footnote reference"/>
    <w:basedOn w:val="10"/>
    <w:qFormat/>
    <w:uiPriority w:val="0"/>
    <w:rPr>
      <w:vertAlign w:val="superscript"/>
    </w:rPr>
  </w:style>
  <w:style w:type="character" w:customStyle="1" w:styleId="12">
    <w:name w:val="标题 2 Char"/>
    <w:link w:val="2"/>
    <w:qFormat/>
    <w:uiPriority w:val="0"/>
    <w:rPr>
      <w:rFonts w:ascii="Arial" w:hAnsi="Arial" w:eastAsia="黑体"/>
      <w:b/>
      <w:sz w:val="32"/>
    </w:rPr>
  </w:style>
  <w:style w:type="paragraph" w:customStyle="1" w:styleId="13">
    <w:name w:val="三号楷体"/>
    <w:basedOn w:val="1"/>
    <w:next w:val="1"/>
    <w:link w:val="14"/>
    <w:qFormat/>
    <w:uiPriority w:val="0"/>
    <w:pPr>
      <w:spacing w:before="305" w:line="560" w:lineRule="exact"/>
      <w:ind w:left="1" w:right="97" w:firstLine="638"/>
    </w:pPr>
    <w:rPr>
      <w:rFonts w:hint="eastAsia" w:ascii="Arial" w:hAnsi="Arial" w:eastAsia="楷体GB2312"/>
      <w:sz w:val="32"/>
    </w:rPr>
  </w:style>
  <w:style w:type="character" w:customStyle="1" w:styleId="14">
    <w:name w:val="三号楷体 Char"/>
    <w:link w:val="13"/>
    <w:qFormat/>
    <w:uiPriority w:val="0"/>
    <w:rPr>
      <w:rFonts w:hint="eastAsia" w:ascii="Arial" w:hAnsi="Arial" w:eastAsia="楷体GB2312"/>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4416</Words>
  <Characters>4479</Characters>
  <Lines>0</Lines>
  <Paragraphs>0</Paragraphs>
  <TotalTime>98</TotalTime>
  <ScaleCrop>false</ScaleCrop>
  <LinksUpToDate>false</LinksUpToDate>
  <CharactersWithSpaces>4512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2026-05-27T16:55:00Z</dcterms:created>
  <dc:creator>赵强</dc:creator>
  <cp:lastModifiedBy>成</cp:lastModifiedBy>
  <cp:lastPrinted>2026-07-31T16:38:00Z</cp:lastPrinted>
  <dcterms:modified xsi:type="dcterms:W3CDTF">2026-08-14T01:08:21Z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94FD4F18821E4C5387D448F8C021764D</vt:lpwstr>
  </property>
  <property fmtid="{D5CDD505-2E9C-101B-9397-08002B2CF9AE}" pid="4" name="KSOTemplateDocerSaveRecord">
    <vt:lpwstr>eyJoZGlkIjoiY2Y3MWIwNmY5MTczYmZjY2RlZTU2MjE2NmY4ZmJhZmUiLCJ1c2VySWQiOiIxMTQ5OTg3NTc2In0=</vt:lpwstr>
  </property>
</Properties>
</file>